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CB0F" w14:textId="77777777" w:rsidR="009F3415" w:rsidRPr="0006270D" w:rsidRDefault="00645F91" w:rsidP="009F3415">
      <w:pPr>
        <w:pBdr>
          <w:bottom w:val="single" w:sz="4" w:space="1" w:color="595959"/>
        </w:pBdr>
        <w:rPr>
          <w:rFonts w:ascii="Calibri" w:hAnsi="Calibri"/>
          <w:b/>
          <w:color w:val="595959"/>
          <w:sz w:val="22"/>
          <w:szCs w:val="22"/>
        </w:rPr>
      </w:pPr>
      <w:bookmarkStart w:id="0" w:name="_GoBack"/>
      <w:bookmarkEnd w:id="0"/>
      <w:r>
        <w:rPr>
          <w:rFonts w:ascii="Calibri" w:hAnsi="Calibri"/>
          <w:b/>
          <w:color w:val="595959"/>
          <w:sz w:val="22"/>
          <w:szCs w:val="22"/>
        </w:rPr>
        <w:t>CORPORATE NEWS</w:t>
      </w:r>
    </w:p>
    <w:p w14:paraId="6576C062" w14:textId="77777777" w:rsidR="00B22508" w:rsidRPr="0006270D" w:rsidRDefault="00B22508" w:rsidP="00A40697">
      <w:pPr>
        <w:rPr>
          <w:rFonts w:ascii="Calibri" w:hAnsi="Calibri"/>
          <w:b/>
          <w:sz w:val="22"/>
          <w:szCs w:val="22"/>
        </w:rPr>
      </w:pPr>
    </w:p>
    <w:p w14:paraId="17BF69D0" w14:textId="77777777" w:rsidR="00C663FF" w:rsidRDefault="00645F91" w:rsidP="00283FA2">
      <w:pPr>
        <w:spacing w:line="360" w:lineRule="auto"/>
        <w:rPr>
          <w:rFonts w:ascii="Calibri" w:hAnsi="Calibri" w:cs="Arial"/>
          <w:b/>
          <w:color w:val="000000"/>
          <w:sz w:val="26"/>
          <w:szCs w:val="26"/>
        </w:rPr>
      </w:pPr>
      <w:r>
        <w:rPr>
          <w:rFonts w:ascii="Calibri" w:hAnsi="Calibri" w:cs="Arial"/>
          <w:b/>
          <w:color w:val="000000"/>
          <w:sz w:val="26"/>
          <w:szCs w:val="26"/>
        </w:rPr>
        <w:t>Homes &amp; Holiday AG erschließt mit der Übernahme von Ferienvermieter Top</w:t>
      </w:r>
      <w:r w:rsidR="001C71C7">
        <w:rPr>
          <w:rFonts w:ascii="Calibri" w:hAnsi="Calibri" w:cs="Arial"/>
          <w:b/>
          <w:color w:val="000000"/>
          <w:sz w:val="26"/>
          <w:szCs w:val="26"/>
        </w:rPr>
        <w:t xml:space="preserve"> </w:t>
      </w:r>
      <w:r>
        <w:rPr>
          <w:rFonts w:ascii="Calibri" w:hAnsi="Calibri" w:cs="Arial"/>
          <w:b/>
          <w:color w:val="000000"/>
          <w:sz w:val="26"/>
          <w:szCs w:val="26"/>
        </w:rPr>
        <w:t xml:space="preserve">Villas </w:t>
      </w:r>
      <w:r w:rsidR="0045510C" w:rsidRPr="00B70816">
        <w:rPr>
          <w:rFonts w:ascii="Calibri" w:hAnsi="Calibri" w:cs="Arial"/>
          <w:b/>
          <w:color w:val="000000"/>
          <w:sz w:val="26"/>
          <w:szCs w:val="26"/>
        </w:rPr>
        <w:t>Mallorca</w:t>
      </w:r>
      <w:r w:rsidR="0045510C">
        <w:rPr>
          <w:rFonts w:ascii="Calibri" w:hAnsi="Calibri" w:cs="Arial"/>
          <w:b/>
          <w:color w:val="000000"/>
          <w:sz w:val="26"/>
          <w:szCs w:val="26"/>
        </w:rPr>
        <w:t xml:space="preserve"> </w:t>
      </w:r>
      <w:r>
        <w:rPr>
          <w:rFonts w:ascii="Calibri" w:hAnsi="Calibri" w:cs="Arial"/>
          <w:b/>
          <w:color w:val="000000"/>
          <w:sz w:val="26"/>
          <w:szCs w:val="26"/>
        </w:rPr>
        <w:t>signifikante Umsatz- und Ertragspotenziale</w:t>
      </w:r>
    </w:p>
    <w:p w14:paraId="254B0DDB" w14:textId="77777777" w:rsidR="002F4BB2" w:rsidRDefault="002F4BB2" w:rsidP="00B40F15">
      <w:pPr>
        <w:spacing w:line="360" w:lineRule="auto"/>
        <w:rPr>
          <w:rFonts w:ascii="Calibri" w:hAnsi="Calibri"/>
          <w:sz w:val="22"/>
          <w:szCs w:val="22"/>
        </w:rPr>
      </w:pPr>
    </w:p>
    <w:p w14:paraId="4B5F545D" w14:textId="77777777" w:rsidR="0040276F" w:rsidRDefault="001C71C7" w:rsidP="0040276F">
      <w:pPr>
        <w:pStyle w:val="Listenabsatz"/>
        <w:numPr>
          <w:ilvl w:val="0"/>
          <w:numId w:val="1"/>
        </w:numPr>
        <w:spacing w:line="360" w:lineRule="auto"/>
        <w:ind w:left="284" w:hanging="284"/>
        <w:rPr>
          <w:rFonts w:ascii="Calibri" w:hAnsi="Calibri"/>
          <w:sz w:val="22"/>
          <w:szCs w:val="22"/>
        </w:rPr>
      </w:pPr>
      <w:r>
        <w:rPr>
          <w:rFonts w:ascii="Calibri" w:hAnsi="Calibri"/>
          <w:sz w:val="22"/>
          <w:szCs w:val="22"/>
        </w:rPr>
        <w:t xml:space="preserve">Künftig einer der </w:t>
      </w:r>
      <w:r w:rsidRPr="001C71C7">
        <w:rPr>
          <w:rFonts w:ascii="Calibri" w:hAnsi="Calibri"/>
          <w:sz w:val="22"/>
          <w:szCs w:val="22"/>
        </w:rPr>
        <w:t xml:space="preserve">führenden </w:t>
      </w:r>
      <w:r>
        <w:rPr>
          <w:rFonts w:ascii="Calibri" w:hAnsi="Calibri"/>
          <w:sz w:val="22"/>
          <w:szCs w:val="22"/>
        </w:rPr>
        <w:t>Finca- und Ferienhausvermieter</w:t>
      </w:r>
      <w:r w:rsidRPr="001C71C7">
        <w:rPr>
          <w:rFonts w:ascii="Calibri" w:hAnsi="Calibri"/>
          <w:sz w:val="22"/>
          <w:szCs w:val="22"/>
        </w:rPr>
        <w:t xml:space="preserve"> auf Mallorca </w:t>
      </w:r>
    </w:p>
    <w:p w14:paraId="23344A68" w14:textId="77777777" w:rsidR="00645F91" w:rsidRDefault="00B65D21" w:rsidP="0040276F">
      <w:pPr>
        <w:pStyle w:val="Listenabsatz"/>
        <w:numPr>
          <w:ilvl w:val="0"/>
          <w:numId w:val="1"/>
        </w:numPr>
        <w:spacing w:line="360" w:lineRule="auto"/>
        <w:ind w:left="284" w:hanging="284"/>
        <w:rPr>
          <w:rFonts w:ascii="Calibri" w:hAnsi="Calibri"/>
          <w:sz w:val="22"/>
          <w:szCs w:val="22"/>
        </w:rPr>
      </w:pPr>
      <w:r>
        <w:rPr>
          <w:rFonts w:ascii="Calibri" w:hAnsi="Calibri"/>
          <w:sz w:val="22"/>
          <w:szCs w:val="22"/>
        </w:rPr>
        <w:t xml:space="preserve">Porta Holiday steigert Objektbestand im laufenden Jahr von 220 auf rund 1.000 </w:t>
      </w:r>
    </w:p>
    <w:p w14:paraId="28172A5C" w14:textId="77777777" w:rsidR="006D0C1E" w:rsidRDefault="00EE4935" w:rsidP="006D0C1E">
      <w:pPr>
        <w:pStyle w:val="Listenabsatz"/>
        <w:numPr>
          <w:ilvl w:val="0"/>
          <w:numId w:val="1"/>
        </w:numPr>
        <w:spacing w:line="360" w:lineRule="auto"/>
        <w:ind w:left="284" w:hanging="284"/>
        <w:rPr>
          <w:rFonts w:ascii="Calibri" w:hAnsi="Calibri"/>
          <w:sz w:val="22"/>
          <w:szCs w:val="22"/>
        </w:rPr>
      </w:pPr>
      <w:r w:rsidRPr="00EE4935">
        <w:rPr>
          <w:rFonts w:ascii="Calibri" w:hAnsi="Calibri"/>
          <w:sz w:val="22"/>
          <w:szCs w:val="22"/>
        </w:rPr>
        <w:t xml:space="preserve">Ferienvermietung </w:t>
      </w:r>
      <w:r w:rsidR="00F71F40">
        <w:rPr>
          <w:rFonts w:ascii="Calibri" w:hAnsi="Calibri"/>
          <w:sz w:val="22"/>
          <w:szCs w:val="22"/>
        </w:rPr>
        <w:t>trägt</w:t>
      </w:r>
      <w:r w:rsidRPr="00EE4935">
        <w:rPr>
          <w:rFonts w:ascii="Calibri" w:hAnsi="Calibri"/>
          <w:sz w:val="22"/>
          <w:szCs w:val="22"/>
        </w:rPr>
        <w:t xml:space="preserve"> ab 2019 deutlich positiv zur Umsatz- und Ertragslage der gesamten Gruppe </w:t>
      </w:r>
      <w:r w:rsidR="00F71F40">
        <w:rPr>
          <w:rFonts w:ascii="Calibri" w:hAnsi="Calibri"/>
          <w:sz w:val="22"/>
          <w:szCs w:val="22"/>
        </w:rPr>
        <w:t>bei</w:t>
      </w:r>
    </w:p>
    <w:p w14:paraId="1BC0D634" w14:textId="77777777" w:rsidR="00EE4935" w:rsidRPr="00EE4935" w:rsidRDefault="00EE4935" w:rsidP="00EE4935">
      <w:pPr>
        <w:pStyle w:val="Listenabsatz"/>
        <w:spacing w:line="360" w:lineRule="auto"/>
        <w:ind w:left="284"/>
        <w:rPr>
          <w:rFonts w:ascii="Calibri" w:hAnsi="Calibri"/>
          <w:sz w:val="22"/>
          <w:szCs w:val="22"/>
        </w:rPr>
      </w:pPr>
    </w:p>
    <w:p w14:paraId="4FE64701" w14:textId="77777777" w:rsidR="00C23C68" w:rsidRDefault="003C0F1A" w:rsidP="003C0F1A">
      <w:pPr>
        <w:spacing w:line="360" w:lineRule="auto"/>
        <w:rPr>
          <w:rFonts w:ascii="Calibri" w:hAnsi="Calibri"/>
          <w:sz w:val="22"/>
          <w:szCs w:val="22"/>
        </w:rPr>
      </w:pPr>
      <w:proofErr w:type="spellStart"/>
      <w:r w:rsidRPr="00E07A6B">
        <w:rPr>
          <w:rFonts w:ascii="Calibri" w:hAnsi="Calibri"/>
          <w:sz w:val="22"/>
          <w:szCs w:val="22"/>
          <w:lang w:val="es-ES"/>
        </w:rPr>
        <w:t>München</w:t>
      </w:r>
      <w:proofErr w:type="spellEnd"/>
      <w:r w:rsidR="00EB2BAE" w:rsidRPr="00E07A6B">
        <w:rPr>
          <w:rFonts w:ascii="Calibri" w:hAnsi="Calibri"/>
          <w:sz w:val="22"/>
          <w:szCs w:val="22"/>
          <w:lang w:val="es-ES"/>
        </w:rPr>
        <w:t xml:space="preserve">/Palma de Mallorca </w:t>
      </w:r>
      <w:r w:rsidRPr="00E07A6B">
        <w:rPr>
          <w:rFonts w:ascii="Calibri" w:hAnsi="Calibri"/>
          <w:sz w:val="22"/>
          <w:szCs w:val="22"/>
          <w:lang w:val="es-ES"/>
        </w:rPr>
        <w:t xml:space="preserve">, </w:t>
      </w:r>
      <w:r w:rsidR="00E07A6B" w:rsidRPr="00E07A6B">
        <w:rPr>
          <w:rFonts w:ascii="Calibri" w:hAnsi="Calibri"/>
          <w:sz w:val="22"/>
          <w:szCs w:val="22"/>
          <w:lang w:val="es-ES"/>
        </w:rPr>
        <w:t>01</w:t>
      </w:r>
      <w:r w:rsidRPr="00E07A6B">
        <w:rPr>
          <w:rFonts w:ascii="Calibri" w:hAnsi="Calibri"/>
          <w:sz w:val="22"/>
          <w:szCs w:val="22"/>
          <w:lang w:val="es-ES"/>
        </w:rPr>
        <w:t>.</w:t>
      </w:r>
      <w:r w:rsidR="00E07A6B" w:rsidRPr="00E07A6B">
        <w:rPr>
          <w:rFonts w:ascii="Calibri" w:hAnsi="Calibri"/>
          <w:sz w:val="22"/>
          <w:szCs w:val="22"/>
        </w:rPr>
        <w:t>Oktober</w:t>
      </w:r>
      <w:r w:rsidR="00E07A6B">
        <w:rPr>
          <w:rFonts w:ascii="Calibri" w:hAnsi="Calibri"/>
          <w:sz w:val="22"/>
          <w:szCs w:val="22"/>
        </w:rPr>
        <w:t xml:space="preserve"> </w:t>
      </w:r>
      <w:r w:rsidRPr="00EB2BAE">
        <w:rPr>
          <w:rFonts w:ascii="Calibri" w:hAnsi="Calibri"/>
          <w:sz w:val="22"/>
          <w:szCs w:val="22"/>
        </w:rPr>
        <w:t xml:space="preserve">2018. </w:t>
      </w:r>
      <w:r w:rsidR="00F71F40">
        <w:rPr>
          <w:rFonts w:ascii="Calibri" w:hAnsi="Calibri"/>
          <w:sz w:val="22"/>
          <w:szCs w:val="22"/>
        </w:rPr>
        <w:t xml:space="preserve">Die </w:t>
      </w:r>
      <w:r w:rsidR="00A31716" w:rsidRPr="00EB2BAE">
        <w:rPr>
          <w:rFonts w:ascii="Calibri" w:hAnsi="Calibri"/>
          <w:sz w:val="22"/>
          <w:szCs w:val="22"/>
        </w:rPr>
        <w:t>Homes &amp; Holiday AG (ISIN: DE000A2GS5M9)</w:t>
      </w:r>
      <w:r w:rsidR="00F71F40">
        <w:rPr>
          <w:rFonts w:ascii="Calibri" w:hAnsi="Calibri"/>
          <w:sz w:val="22"/>
          <w:szCs w:val="22"/>
        </w:rPr>
        <w:t xml:space="preserve">, Spezialist für Ferienimmobilien in Spanien und Deutschland, </w:t>
      </w:r>
      <w:r w:rsidR="001C71C7">
        <w:rPr>
          <w:rFonts w:ascii="Calibri" w:hAnsi="Calibri"/>
          <w:sz w:val="22"/>
          <w:szCs w:val="22"/>
        </w:rPr>
        <w:t>übernimmt die auf Finca- und Ferienhausvermieter</w:t>
      </w:r>
      <w:r w:rsidR="001C71C7" w:rsidRPr="001C71C7">
        <w:rPr>
          <w:rFonts w:ascii="Calibri" w:hAnsi="Calibri"/>
          <w:sz w:val="22"/>
          <w:szCs w:val="22"/>
        </w:rPr>
        <w:t xml:space="preserve"> </w:t>
      </w:r>
      <w:r w:rsidR="001C71C7">
        <w:rPr>
          <w:rFonts w:ascii="Calibri" w:hAnsi="Calibri"/>
          <w:sz w:val="22"/>
          <w:szCs w:val="22"/>
        </w:rPr>
        <w:t>auf Mallorca spezialisierte Top Villas</w:t>
      </w:r>
      <w:r w:rsidR="00E92E76">
        <w:rPr>
          <w:rFonts w:ascii="Calibri" w:hAnsi="Calibri"/>
          <w:sz w:val="22"/>
          <w:szCs w:val="22"/>
        </w:rPr>
        <w:t xml:space="preserve"> </w:t>
      </w:r>
      <w:r w:rsidR="00B70816">
        <w:rPr>
          <w:rFonts w:ascii="Calibri" w:hAnsi="Calibri"/>
          <w:sz w:val="22"/>
          <w:szCs w:val="22"/>
        </w:rPr>
        <w:t>M</w:t>
      </w:r>
      <w:r w:rsidR="005706F1">
        <w:rPr>
          <w:rFonts w:ascii="Calibri" w:hAnsi="Calibri"/>
          <w:sz w:val="22"/>
          <w:szCs w:val="22"/>
        </w:rPr>
        <w:t>allorca S.L.</w:t>
      </w:r>
      <w:r w:rsidR="00B33D8B">
        <w:rPr>
          <w:rFonts w:ascii="Calibri" w:hAnsi="Calibri"/>
          <w:sz w:val="22"/>
          <w:szCs w:val="22"/>
        </w:rPr>
        <w:t xml:space="preserve"> </w:t>
      </w:r>
      <w:r w:rsidR="001C71C7">
        <w:rPr>
          <w:rFonts w:ascii="Calibri" w:hAnsi="Calibri"/>
          <w:sz w:val="22"/>
          <w:szCs w:val="22"/>
        </w:rPr>
        <w:t xml:space="preserve">Gemeinsam </w:t>
      </w:r>
      <w:r w:rsidR="00B019A2">
        <w:rPr>
          <w:rFonts w:ascii="Calibri" w:hAnsi="Calibri"/>
          <w:sz w:val="22"/>
          <w:szCs w:val="22"/>
        </w:rPr>
        <w:t xml:space="preserve">mit der ebenfalls </w:t>
      </w:r>
      <w:r w:rsidR="001C3B26">
        <w:rPr>
          <w:rFonts w:ascii="Calibri" w:hAnsi="Calibri"/>
          <w:sz w:val="22"/>
          <w:szCs w:val="22"/>
        </w:rPr>
        <w:t xml:space="preserve">in diesem Bereich aktiven </w:t>
      </w:r>
      <w:r w:rsidR="00B019A2">
        <w:rPr>
          <w:rFonts w:ascii="Calibri" w:hAnsi="Calibri"/>
          <w:sz w:val="22"/>
          <w:szCs w:val="22"/>
        </w:rPr>
        <w:t>To</w:t>
      </w:r>
      <w:r w:rsidR="00135A26">
        <w:rPr>
          <w:rFonts w:ascii="Calibri" w:hAnsi="Calibri"/>
          <w:sz w:val="22"/>
          <w:szCs w:val="22"/>
        </w:rPr>
        <w:t xml:space="preserve">chtergesellschaft Porta Holiday wird die </w:t>
      </w:r>
      <w:r w:rsidR="00EB2BAE" w:rsidRPr="00EB2BAE">
        <w:rPr>
          <w:rFonts w:ascii="Calibri" w:hAnsi="Calibri"/>
          <w:sz w:val="22"/>
          <w:szCs w:val="22"/>
        </w:rPr>
        <w:t xml:space="preserve">neue </w:t>
      </w:r>
      <w:r w:rsidR="001C3B26">
        <w:rPr>
          <w:rFonts w:ascii="Calibri" w:hAnsi="Calibri"/>
          <w:sz w:val="22"/>
          <w:szCs w:val="22"/>
        </w:rPr>
        <w:t>Unternehmensg</w:t>
      </w:r>
      <w:r w:rsidR="00EB2BAE" w:rsidRPr="00EB2BAE">
        <w:rPr>
          <w:rFonts w:ascii="Calibri" w:hAnsi="Calibri"/>
          <w:sz w:val="22"/>
          <w:szCs w:val="22"/>
        </w:rPr>
        <w:t xml:space="preserve">ruppe mit </w:t>
      </w:r>
      <w:r w:rsidR="00135A26">
        <w:rPr>
          <w:rFonts w:ascii="Calibri" w:hAnsi="Calibri"/>
          <w:sz w:val="22"/>
          <w:szCs w:val="22"/>
        </w:rPr>
        <w:t xml:space="preserve">einem Vermietungsportfolio von </w:t>
      </w:r>
      <w:r w:rsidR="00EB2BAE" w:rsidRPr="00EB2BAE">
        <w:rPr>
          <w:rFonts w:ascii="Calibri" w:hAnsi="Calibri"/>
          <w:sz w:val="22"/>
          <w:szCs w:val="22"/>
        </w:rPr>
        <w:t>annährend 1.000 Objekten zu den führenden Ferienvermietern auf Mallorca gehören</w:t>
      </w:r>
      <w:r w:rsidR="00EB2BAE">
        <w:rPr>
          <w:rFonts w:ascii="Calibri" w:hAnsi="Calibri"/>
          <w:sz w:val="22"/>
          <w:szCs w:val="22"/>
        </w:rPr>
        <w:t>.</w:t>
      </w:r>
      <w:r w:rsidR="00B019A2">
        <w:rPr>
          <w:rFonts w:ascii="Calibri" w:hAnsi="Calibri"/>
          <w:sz w:val="22"/>
          <w:szCs w:val="22"/>
        </w:rPr>
        <w:t xml:space="preserve"> </w:t>
      </w:r>
      <w:r w:rsidR="00135A26" w:rsidRPr="00135A26">
        <w:rPr>
          <w:rFonts w:ascii="Calibri" w:hAnsi="Calibri"/>
          <w:sz w:val="22"/>
          <w:szCs w:val="22"/>
        </w:rPr>
        <w:t>Janine Sabrina Klein</w:t>
      </w:r>
      <w:r w:rsidR="00135A26">
        <w:rPr>
          <w:rFonts w:ascii="Calibri" w:hAnsi="Calibri"/>
          <w:sz w:val="22"/>
          <w:szCs w:val="22"/>
        </w:rPr>
        <w:t>, Gründerin und Geschäftsführerin von Top Villas</w:t>
      </w:r>
      <w:r w:rsidR="0045510C">
        <w:rPr>
          <w:rFonts w:ascii="Calibri" w:hAnsi="Calibri"/>
          <w:sz w:val="22"/>
          <w:szCs w:val="22"/>
        </w:rPr>
        <w:t xml:space="preserve"> </w:t>
      </w:r>
      <w:r w:rsidR="00B70816" w:rsidRPr="00AF3F44">
        <w:rPr>
          <w:rFonts w:ascii="Calibri" w:hAnsi="Calibri"/>
          <w:sz w:val="22"/>
          <w:szCs w:val="22"/>
        </w:rPr>
        <w:t>M</w:t>
      </w:r>
      <w:r w:rsidR="005706F1">
        <w:rPr>
          <w:rFonts w:ascii="Calibri" w:hAnsi="Calibri"/>
          <w:sz w:val="22"/>
          <w:szCs w:val="22"/>
        </w:rPr>
        <w:t>allorca</w:t>
      </w:r>
      <w:r w:rsidR="0025529D">
        <w:rPr>
          <w:rFonts w:ascii="Calibri" w:hAnsi="Calibri"/>
          <w:sz w:val="22"/>
          <w:szCs w:val="22"/>
        </w:rPr>
        <w:t xml:space="preserve"> </w:t>
      </w:r>
      <w:r w:rsidR="00135A26">
        <w:rPr>
          <w:rFonts w:ascii="Calibri" w:hAnsi="Calibri"/>
          <w:sz w:val="22"/>
          <w:szCs w:val="22"/>
        </w:rPr>
        <w:t xml:space="preserve">soll künftig auch die Leitung von </w:t>
      </w:r>
      <w:r w:rsidR="00135A26" w:rsidRPr="00135A26">
        <w:rPr>
          <w:rFonts w:ascii="Calibri" w:hAnsi="Calibri"/>
          <w:sz w:val="22"/>
          <w:szCs w:val="22"/>
        </w:rPr>
        <w:t>Porta Holiday</w:t>
      </w:r>
      <w:r w:rsidR="00135A26">
        <w:rPr>
          <w:rFonts w:ascii="Calibri" w:hAnsi="Calibri"/>
          <w:sz w:val="22"/>
          <w:szCs w:val="22"/>
        </w:rPr>
        <w:t xml:space="preserve"> übernehmen</w:t>
      </w:r>
      <w:r w:rsidR="00C23C68">
        <w:rPr>
          <w:rFonts w:ascii="Calibri" w:hAnsi="Calibri"/>
          <w:sz w:val="22"/>
          <w:szCs w:val="22"/>
        </w:rPr>
        <w:t>.</w:t>
      </w:r>
    </w:p>
    <w:p w14:paraId="503EE175" w14:textId="77777777" w:rsidR="00AF3F44" w:rsidRDefault="00AF3F44" w:rsidP="003C0F1A">
      <w:pPr>
        <w:spacing w:line="360" w:lineRule="auto"/>
        <w:rPr>
          <w:rFonts w:ascii="Calibri" w:hAnsi="Calibri"/>
          <w:sz w:val="22"/>
          <w:szCs w:val="22"/>
        </w:rPr>
      </w:pPr>
    </w:p>
    <w:p w14:paraId="175C1528" w14:textId="77777777" w:rsidR="00AF3F44" w:rsidRDefault="00AF3F44" w:rsidP="003C0F1A">
      <w:pPr>
        <w:spacing w:line="360" w:lineRule="auto"/>
        <w:rPr>
          <w:rFonts w:ascii="Calibri" w:hAnsi="Calibri"/>
          <w:color w:val="000000" w:themeColor="text1"/>
          <w:sz w:val="22"/>
          <w:szCs w:val="22"/>
        </w:rPr>
      </w:pPr>
      <w:r w:rsidRPr="00AF3F44">
        <w:rPr>
          <w:rFonts w:ascii="Calibri" w:hAnsi="Calibri"/>
          <w:color w:val="000000" w:themeColor="text1"/>
          <w:sz w:val="22"/>
          <w:szCs w:val="22"/>
        </w:rPr>
        <w:t>Janine Sabrina Klein: “Durch die Synergien mit Porta Holiday werden wir unter anderem die Vermarktung über die eigene, erfolgreiche Website stärken und damit die Unabhängigkeit von Buchungsportalen erhöhen. Unsere Kunden profitieren von einem der größten Angebote im Bereich Ferienimmobilien zu attraktiven Preisen. Über den entstehenden Buchungszuwachs steigen wir zur Nummer zwei in der Ferienvermietung auf Mallorca auf und sind auf einem guten Weg, mittelfristig die Marktführerschaft zu übernehmen.“</w:t>
      </w:r>
    </w:p>
    <w:p w14:paraId="42A4563B" w14:textId="77777777" w:rsidR="00DC7943" w:rsidRDefault="00DC7943" w:rsidP="003C0F1A">
      <w:pPr>
        <w:spacing w:line="360" w:lineRule="auto"/>
        <w:rPr>
          <w:rFonts w:ascii="Calibri" w:hAnsi="Calibri"/>
          <w:sz w:val="22"/>
          <w:szCs w:val="22"/>
        </w:rPr>
      </w:pPr>
    </w:p>
    <w:p w14:paraId="358CDFD7" w14:textId="77777777" w:rsidR="00A31716" w:rsidRDefault="00135A26" w:rsidP="003C0F1A">
      <w:pPr>
        <w:spacing w:line="360" w:lineRule="auto"/>
        <w:rPr>
          <w:rFonts w:ascii="Calibri" w:hAnsi="Calibri"/>
          <w:sz w:val="22"/>
          <w:szCs w:val="22"/>
        </w:rPr>
      </w:pPr>
      <w:r>
        <w:rPr>
          <w:rFonts w:ascii="Calibri" w:hAnsi="Calibri"/>
          <w:sz w:val="22"/>
          <w:szCs w:val="22"/>
        </w:rPr>
        <w:t>„</w:t>
      </w:r>
      <w:r w:rsidR="00DC7943">
        <w:rPr>
          <w:rFonts w:ascii="Calibri" w:hAnsi="Calibri"/>
          <w:sz w:val="22"/>
          <w:szCs w:val="22"/>
        </w:rPr>
        <w:t>Top Villas</w:t>
      </w:r>
      <w:r w:rsidR="00B70816">
        <w:rPr>
          <w:rFonts w:ascii="Calibri" w:hAnsi="Calibri"/>
          <w:sz w:val="22"/>
          <w:szCs w:val="22"/>
        </w:rPr>
        <w:t xml:space="preserve"> M</w:t>
      </w:r>
      <w:r w:rsidR="005706F1">
        <w:rPr>
          <w:rFonts w:ascii="Calibri" w:hAnsi="Calibri"/>
          <w:sz w:val="22"/>
          <w:szCs w:val="22"/>
        </w:rPr>
        <w:t>allorca</w:t>
      </w:r>
      <w:r w:rsidR="00B70816">
        <w:rPr>
          <w:rFonts w:ascii="Calibri" w:hAnsi="Calibri"/>
          <w:sz w:val="22"/>
          <w:szCs w:val="22"/>
        </w:rPr>
        <w:t xml:space="preserve"> </w:t>
      </w:r>
      <w:r w:rsidR="00DC7943">
        <w:rPr>
          <w:rFonts w:ascii="Calibri" w:hAnsi="Calibri"/>
          <w:sz w:val="22"/>
          <w:szCs w:val="22"/>
        </w:rPr>
        <w:t xml:space="preserve">ist seit Jahren auf Mallorca fest etabliert, profitabel und hat eine klare Wachstumsstrategie. Daher </w:t>
      </w:r>
      <w:r>
        <w:rPr>
          <w:rFonts w:ascii="Calibri" w:hAnsi="Calibri"/>
          <w:sz w:val="22"/>
          <w:szCs w:val="22"/>
        </w:rPr>
        <w:t xml:space="preserve">freuen </w:t>
      </w:r>
      <w:r w:rsidR="00DC7943">
        <w:rPr>
          <w:rFonts w:ascii="Calibri" w:hAnsi="Calibri"/>
          <w:sz w:val="22"/>
          <w:szCs w:val="22"/>
        </w:rPr>
        <w:t xml:space="preserve">wir </w:t>
      </w:r>
      <w:r>
        <w:rPr>
          <w:rFonts w:ascii="Calibri" w:hAnsi="Calibri"/>
          <w:sz w:val="22"/>
          <w:szCs w:val="22"/>
        </w:rPr>
        <w:t xml:space="preserve">uns sehr, </w:t>
      </w:r>
      <w:r w:rsidRPr="00135A26">
        <w:rPr>
          <w:rFonts w:ascii="Calibri" w:hAnsi="Calibri"/>
          <w:sz w:val="22"/>
          <w:szCs w:val="22"/>
        </w:rPr>
        <w:t>Janine Sabrina Klein</w:t>
      </w:r>
      <w:r>
        <w:rPr>
          <w:rFonts w:ascii="Calibri" w:hAnsi="Calibri"/>
          <w:sz w:val="22"/>
          <w:szCs w:val="22"/>
        </w:rPr>
        <w:t xml:space="preserve"> und ihr Team für unsere Gruppe begeistert zu haben“, </w:t>
      </w:r>
      <w:r w:rsidRPr="00135A26">
        <w:rPr>
          <w:rFonts w:ascii="Calibri" w:hAnsi="Calibri"/>
          <w:sz w:val="22"/>
          <w:szCs w:val="22"/>
        </w:rPr>
        <w:t>sagt Joachim Semrau, Gründer und CEO der Homes &amp; Holiday AG.</w:t>
      </w:r>
      <w:r>
        <w:rPr>
          <w:rFonts w:ascii="Calibri" w:hAnsi="Calibri"/>
          <w:sz w:val="22"/>
          <w:szCs w:val="22"/>
        </w:rPr>
        <w:t xml:space="preserve"> „Der Markt für hochwertigen Finca-Urlaub auf Mallorca boomt und g</w:t>
      </w:r>
      <w:r w:rsidR="00B019A2">
        <w:rPr>
          <w:rFonts w:ascii="Calibri" w:hAnsi="Calibri"/>
          <w:sz w:val="22"/>
          <w:szCs w:val="22"/>
        </w:rPr>
        <w:t xml:space="preserve">emeinsam </w:t>
      </w:r>
      <w:r>
        <w:rPr>
          <w:rFonts w:ascii="Calibri" w:hAnsi="Calibri"/>
          <w:sz w:val="22"/>
          <w:szCs w:val="22"/>
        </w:rPr>
        <w:t xml:space="preserve">werden wir die vorhandenen </w:t>
      </w:r>
      <w:r w:rsidR="00B019A2">
        <w:rPr>
          <w:rFonts w:ascii="Calibri" w:hAnsi="Calibri"/>
          <w:sz w:val="22"/>
          <w:szCs w:val="22"/>
        </w:rPr>
        <w:t xml:space="preserve">Wachstumschancen konsequenter </w:t>
      </w:r>
      <w:r>
        <w:rPr>
          <w:rFonts w:ascii="Calibri" w:hAnsi="Calibri"/>
          <w:sz w:val="22"/>
          <w:szCs w:val="22"/>
        </w:rPr>
        <w:t xml:space="preserve">nutzen und </w:t>
      </w:r>
      <w:r w:rsidR="00B019A2">
        <w:rPr>
          <w:rFonts w:ascii="Calibri" w:hAnsi="Calibri"/>
          <w:sz w:val="22"/>
          <w:szCs w:val="22"/>
        </w:rPr>
        <w:t>Synergien</w:t>
      </w:r>
      <w:r>
        <w:rPr>
          <w:rFonts w:ascii="Calibri" w:hAnsi="Calibri"/>
          <w:sz w:val="22"/>
          <w:szCs w:val="22"/>
        </w:rPr>
        <w:t xml:space="preserve"> heben.“ </w:t>
      </w:r>
      <w:r w:rsidR="00DC7943">
        <w:rPr>
          <w:rFonts w:ascii="Calibri" w:hAnsi="Calibri"/>
          <w:sz w:val="22"/>
          <w:szCs w:val="22"/>
        </w:rPr>
        <w:t xml:space="preserve">Derzeit verfügen rund </w:t>
      </w:r>
      <w:r w:rsidR="00DC7943" w:rsidRPr="00DC7943">
        <w:rPr>
          <w:rFonts w:ascii="Calibri" w:hAnsi="Calibri"/>
          <w:sz w:val="22"/>
          <w:szCs w:val="22"/>
        </w:rPr>
        <w:t xml:space="preserve">13.000 Objekte </w:t>
      </w:r>
      <w:r w:rsidR="00DC7943">
        <w:rPr>
          <w:rFonts w:ascii="Calibri" w:hAnsi="Calibri"/>
          <w:sz w:val="22"/>
          <w:szCs w:val="22"/>
        </w:rPr>
        <w:t xml:space="preserve">auf Mallorca über eine </w:t>
      </w:r>
      <w:r w:rsidR="00DC7943" w:rsidRPr="00DC7943">
        <w:rPr>
          <w:rFonts w:ascii="Calibri" w:hAnsi="Calibri"/>
          <w:sz w:val="22"/>
          <w:szCs w:val="22"/>
        </w:rPr>
        <w:t>Ferienvermiet</w:t>
      </w:r>
      <w:r w:rsidR="00DC7943">
        <w:rPr>
          <w:rFonts w:ascii="Calibri" w:hAnsi="Calibri"/>
          <w:sz w:val="22"/>
          <w:szCs w:val="22"/>
        </w:rPr>
        <w:t>ungs</w:t>
      </w:r>
      <w:r w:rsidR="00DC7943" w:rsidRPr="00DC7943">
        <w:rPr>
          <w:rFonts w:ascii="Calibri" w:hAnsi="Calibri"/>
          <w:sz w:val="22"/>
          <w:szCs w:val="22"/>
        </w:rPr>
        <w:t>lizenz der Tourismusbehörde</w:t>
      </w:r>
      <w:r w:rsidR="00DC7943">
        <w:rPr>
          <w:rFonts w:ascii="Calibri" w:hAnsi="Calibri"/>
          <w:sz w:val="22"/>
          <w:szCs w:val="22"/>
        </w:rPr>
        <w:t xml:space="preserve">. Die Vergabe weiterer rund </w:t>
      </w:r>
      <w:r w:rsidR="00DC7943" w:rsidRPr="00DC7943">
        <w:rPr>
          <w:rFonts w:ascii="Calibri" w:hAnsi="Calibri"/>
          <w:sz w:val="22"/>
          <w:szCs w:val="22"/>
        </w:rPr>
        <w:t>6.000 Lizenzen</w:t>
      </w:r>
      <w:r w:rsidR="00DC7943">
        <w:rPr>
          <w:rFonts w:ascii="Calibri" w:hAnsi="Calibri"/>
          <w:sz w:val="22"/>
          <w:szCs w:val="22"/>
        </w:rPr>
        <w:t xml:space="preserve"> ist geplant</w:t>
      </w:r>
      <w:r w:rsidR="00AF3F44">
        <w:rPr>
          <w:rFonts w:ascii="Calibri" w:hAnsi="Calibri"/>
          <w:sz w:val="22"/>
          <w:szCs w:val="22"/>
        </w:rPr>
        <w:t>.</w:t>
      </w:r>
    </w:p>
    <w:p w14:paraId="7873FCBD" w14:textId="77777777" w:rsidR="00DC7943" w:rsidRDefault="00DC7943" w:rsidP="003C0F1A">
      <w:pPr>
        <w:spacing w:line="360" w:lineRule="auto"/>
        <w:rPr>
          <w:rFonts w:ascii="Calibri" w:hAnsi="Calibri"/>
          <w:sz w:val="22"/>
          <w:szCs w:val="22"/>
        </w:rPr>
      </w:pPr>
    </w:p>
    <w:p w14:paraId="14B3E35C" w14:textId="77777777" w:rsidR="001E2E02" w:rsidRDefault="00DC7943" w:rsidP="003C0F1A">
      <w:pPr>
        <w:spacing w:line="360" w:lineRule="auto"/>
        <w:rPr>
          <w:rFonts w:ascii="Calibri" w:hAnsi="Calibri"/>
          <w:sz w:val="22"/>
          <w:szCs w:val="22"/>
        </w:rPr>
      </w:pPr>
      <w:r>
        <w:rPr>
          <w:rFonts w:ascii="Calibri" w:hAnsi="Calibri"/>
          <w:sz w:val="22"/>
          <w:szCs w:val="22"/>
        </w:rPr>
        <w:lastRenderedPageBreak/>
        <w:t xml:space="preserve">Top Villas </w:t>
      </w:r>
      <w:r w:rsidR="00E07A6B">
        <w:rPr>
          <w:rFonts w:ascii="Calibri" w:hAnsi="Calibri"/>
          <w:sz w:val="22"/>
          <w:szCs w:val="22"/>
        </w:rPr>
        <w:t xml:space="preserve">Mallorca </w:t>
      </w:r>
      <w:r>
        <w:rPr>
          <w:rFonts w:ascii="Calibri" w:hAnsi="Calibri"/>
          <w:sz w:val="22"/>
          <w:szCs w:val="22"/>
        </w:rPr>
        <w:t xml:space="preserve">plant </w:t>
      </w:r>
      <w:r w:rsidR="00443B1E">
        <w:rPr>
          <w:rFonts w:ascii="Calibri" w:hAnsi="Calibri"/>
          <w:sz w:val="22"/>
          <w:szCs w:val="22"/>
        </w:rPr>
        <w:t xml:space="preserve">für das Jahr 2018 </w:t>
      </w:r>
      <w:r w:rsidR="00F00640">
        <w:rPr>
          <w:rFonts w:ascii="Calibri" w:hAnsi="Calibri"/>
          <w:sz w:val="22"/>
          <w:szCs w:val="22"/>
        </w:rPr>
        <w:t xml:space="preserve">ein </w:t>
      </w:r>
      <w:r w:rsidR="00F00640" w:rsidRPr="00F00640">
        <w:rPr>
          <w:rFonts w:ascii="Calibri" w:hAnsi="Calibri"/>
          <w:sz w:val="22"/>
          <w:szCs w:val="22"/>
        </w:rPr>
        <w:t xml:space="preserve">Brutto-Buchungsvolumen von </w:t>
      </w:r>
      <w:r w:rsidR="00F00640">
        <w:rPr>
          <w:rFonts w:ascii="Calibri" w:hAnsi="Calibri"/>
          <w:sz w:val="22"/>
          <w:szCs w:val="22"/>
        </w:rPr>
        <w:t xml:space="preserve">mehr als 4,0 Mio. Euro </w:t>
      </w:r>
      <w:r w:rsidR="00F00640" w:rsidRPr="00F00640">
        <w:rPr>
          <w:rFonts w:ascii="Calibri" w:hAnsi="Calibri"/>
          <w:sz w:val="22"/>
          <w:szCs w:val="22"/>
        </w:rPr>
        <w:t xml:space="preserve">und einen </w:t>
      </w:r>
      <w:r w:rsidR="00F00640">
        <w:rPr>
          <w:rFonts w:ascii="Calibri" w:hAnsi="Calibri"/>
          <w:sz w:val="22"/>
          <w:szCs w:val="22"/>
        </w:rPr>
        <w:t>Netto-</w:t>
      </w:r>
      <w:r w:rsidR="00F00640" w:rsidRPr="00F00640">
        <w:rPr>
          <w:rFonts w:ascii="Calibri" w:hAnsi="Calibri"/>
          <w:sz w:val="22"/>
          <w:szCs w:val="22"/>
        </w:rPr>
        <w:t xml:space="preserve">Provisionsumsatz </w:t>
      </w:r>
      <w:r w:rsidR="00B65D21">
        <w:rPr>
          <w:rFonts w:ascii="Calibri" w:hAnsi="Calibri"/>
          <w:sz w:val="22"/>
          <w:szCs w:val="22"/>
        </w:rPr>
        <w:t xml:space="preserve">von </w:t>
      </w:r>
      <w:r w:rsidR="00F00640">
        <w:rPr>
          <w:rFonts w:ascii="Calibri" w:hAnsi="Calibri"/>
          <w:sz w:val="22"/>
          <w:szCs w:val="22"/>
        </w:rPr>
        <w:t>mehr als 700.000 Euro.</w:t>
      </w:r>
      <w:r w:rsidR="00B65D21">
        <w:rPr>
          <w:rFonts w:ascii="Calibri" w:hAnsi="Calibri"/>
          <w:sz w:val="22"/>
          <w:szCs w:val="22"/>
        </w:rPr>
        <w:t xml:space="preserve"> </w:t>
      </w:r>
      <w:r w:rsidR="00AA66AE">
        <w:rPr>
          <w:rFonts w:ascii="Calibri" w:hAnsi="Calibri"/>
          <w:sz w:val="22"/>
          <w:szCs w:val="22"/>
        </w:rPr>
        <w:t xml:space="preserve">Für Porta Holiday ist es </w:t>
      </w:r>
      <w:r w:rsidR="00F71F40">
        <w:rPr>
          <w:rFonts w:ascii="Calibri" w:hAnsi="Calibri"/>
          <w:sz w:val="22"/>
          <w:szCs w:val="22"/>
        </w:rPr>
        <w:t>bereits</w:t>
      </w:r>
      <w:r w:rsidR="00AA66AE">
        <w:rPr>
          <w:rFonts w:ascii="Calibri" w:hAnsi="Calibri"/>
          <w:sz w:val="22"/>
          <w:szCs w:val="22"/>
        </w:rPr>
        <w:t xml:space="preserve"> die zweite Akquisition im laufenden </w:t>
      </w:r>
      <w:r w:rsidR="00B65D21">
        <w:rPr>
          <w:rFonts w:ascii="Calibri" w:hAnsi="Calibri"/>
          <w:sz w:val="22"/>
          <w:szCs w:val="22"/>
        </w:rPr>
        <w:t xml:space="preserve">Jahr, im Mai </w:t>
      </w:r>
      <w:r w:rsidR="00F71F40">
        <w:rPr>
          <w:rFonts w:ascii="Calibri" w:hAnsi="Calibri"/>
          <w:sz w:val="22"/>
          <w:szCs w:val="22"/>
        </w:rPr>
        <w:t xml:space="preserve">wurde </w:t>
      </w:r>
      <w:r w:rsidR="00B65D21">
        <w:rPr>
          <w:rFonts w:ascii="Calibri" w:hAnsi="Calibri"/>
          <w:sz w:val="22"/>
          <w:szCs w:val="22"/>
        </w:rPr>
        <w:t xml:space="preserve">das Portfolio von </w:t>
      </w:r>
      <w:proofErr w:type="spellStart"/>
      <w:r w:rsidR="00B65D21">
        <w:rPr>
          <w:rFonts w:ascii="Calibri" w:hAnsi="Calibri"/>
          <w:sz w:val="22"/>
          <w:szCs w:val="22"/>
        </w:rPr>
        <w:t>easyFinca</w:t>
      </w:r>
      <w:proofErr w:type="spellEnd"/>
      <w:r w:rsidR="00B65D21">
        <w:rPr>
          <w:rFonts w:ascii="Calibri" w:hAnsi="Calibri"/>
          <w:sz w:val="22"/>
          <w:szCs w:val="22"/>
        </w:rPr>
        <w:t xml:space="preserve"> übernommen. Damit hat Porta Holiday den Objektbestand in 2018 von 220 auf ru</w:t>
      </w:r>
      <w:r w:rsidR="0099282B">
        <w:rPr>
          <w:rFonts w:ascii="Calibri" w:hAnsi="Calibri"/>
          <w:sz w:val="22"/>
          <w:szCs w:val="22"/>
        </w:rPr>
        <w:t xml:space="preserve">nd 1.000 mehr als verfünffacht. Dies erhöht </w:t>
      </w:r>
      <w:r w:rsidR="001E2E02">
        <w:rPr>
          <w:rFonts w:ascii="Calibri" w:hAnsi="Calibri"/>
          <w:sz w:val="22"/>
          <w:szCs w:val="22"/>
        </w:rPr>
        <w:t xml:space="preserve">deutlich </w:t>
      </w:r>
      <w:r w:rsidR="0099282B">
        <w:rPr>
          <w:rFonts w:ascii="Calibri" w:hAnsi="Calibri"/>
          <w:sz w:val="22"/>
          <w:szCs w:val="22"/>
        </w:rPr>
        <w:t>die Attraktivität und Sichtbarkeit de</w:t>
      </w:r>
      <w:r w:rsidR="0071492C">
        <w:rPr>
          <w:rFonts w:ascii="Calibri" w:hAnsi="Calibri"/>
          <w:sz w:val="22"/>
          <w:szCs w:val="22"/>
        </w:rPr>
        <w:t>s</w:t>
      </w:r>
      <w:r w:rsidR="0099282B">
        <w:rPr>
          <w:rFonts w:ascii="Calibri" w:hAnsi="Calibri"/>
          <w:sz w:val="22"/>
          <w:szCs w:val="22"/>
        </w:rPr>
        <w:t xml:space="preserve"> eigenen </w:t>
      </w:r>
      <w:r w:rsidR="0099282B" w:rsidRPr="0099282B">
        <w:rPr>
          <w:rFonts w:ascii="Calibri" w:hAnsi="Calibri"/>
          <w:sz w:val="22"/>
          <w:szCs w:val="22"/>
        </w:rPr>
        <w:t>Buchungsportal</w:t>
      </w:r>
      <w:r w:rsidR="0071492C">
        <w:rPr>
          <w:rFonts w:ascii="Calibri" w:hAnsi="Calibri"/>
          <w:sz w:val="22"/>
          <w:szCs w:val="22"/>
        </w:rPr>
        <w:t>s</w:t>
      </w:r>
      <w:r w:rsidR="001E2E02">
        <w:rPr>
          <w:rFonts w:ascii="Calibri" w:hAnsi="Calibri"/>
          <w:sz w:val="22"/>
          <w:szCs w:val="22"/>
        </w:rPr>
        <w:t>:</w:t>
      </w:r>
      <w:r w:rsidR="00E07A6B">
        <w:rPr>
          <w:rFonts w:ascii="Calibri" w:hAnsi="Calibri"/>
          <w:sz w:val="22"/>
          <w:szCs w:val="22"/>
        </w:rPr>
        <w:t xml:space="preserve"> </w:t>
      </w:r>
      <w:hyperlink r:id="rId11" w:history="1">
        <w:r w:rsidR="00AF3F44" w:rsidRPr="001E2E02">
          <w:rPr>
            <w:rStyle w:val="Hyperlink"/>
            <w:rFonts w:ascii="Calibri" w:hAnsi="Calibri"/>
            <w:sz w:val="22"/>
            <w:szCs w:val="22"/>
          </w:rPr>
          <w:t>https://www.portaholiday.de</w:t>
        </w:r>
      </w:hyperlink>
    </w:p>
    <w:p w14:paraId="54260E45" w14:textId="77777777" w:rsidR="0099282B" w:rsidRDefault="0099282B" w:rsidP="003C0F1A">
      <w:pPr>
        <w:spacing w:line="360" w:lineRule="auto"/>
        <w:rPr>
          <w:rFonts w:ascii="Calibri" w:hAnsi="Calibri"/>
          <w:sz w:val="22"/>
          <w:szCs w:val="22"/>
        </w:rPr>
      </w:pPr>
      <w:r w:rsidRPr="0025529D">
        <w:rPr>
          <w:rFonts w:ascii="Calibri" w:hAnsi="Calibri"/>
          <w:sz w:val="22"/>
          <w:szCs w:val="22"/>
        </w:rPr>
        <w:t xml:space="preserve"> </w:t>
      </w:r>
    </w:p>
    <w:p w14:paraId="52FE62B4" w14:textId="77777777" w:rsidR="00F71F40" w:rsidRDefault="00AA66AE" w:rsidP="00A22E2F">
      <w:pPr>
        <w:spacing w:line="360" w:lineRule="auto"/>
        <w:rPr>
          <w:rFonts w:ascii="Calibri" w:hAnsi="Calibri"/>
          <w:sz w:val="22"/>
          <w:szCs w:val="22"/>
        </w:rPr>
      </w:pPr>
      <w:r w:rsidRPr="00135A26">
        <w:rPr>
          <w:rFonts w:ascii="Calibri" w:hAnsi="Calibri"/>
          <w:sz w:val="22"/>
          <w:szCs w:val="22"/>
        </w:rPr>
        <w:t>Joachim Semrau</w:t>
      </w:r>
      <w:r>
        <w:rPr>
          <w:rFonts w:ascii="Calibri" w:hAnsi="Calibri"/>
          <w:sz w:val="22"/>
          <w:szCs w:val="22"/>
        </w:rPr>
        <w:t>: „</w:t>
      </w:r>
      <w:r w:rsidR="0099282B">
        <w:rPr>
          <w:rFonts w:ascii="Calibri" w:hAnsi="Calibri"/>
          <w:sz w:val="22"/>
          <w:szCs w:val="22"/>
        </w:rPr>
        <w:t xml:space="preserve">Mit </w:t>
      </w:r>
      <w:r w:rsidR="0071492C">
        <w:rPr>
          <w:rFonts w:ascii="Calibri" w:hAnsi="Calibri"/>
          <w:sz w:val="22"/>
          <w:szCs w:val="22"/>
        </w:rPr>
        <w:t>Porta Mallorquina Real Estate</w:t>
      </w:r>
      <w:r w:rsidR="0099282B">
        <w:rPr>
          <w:rFonts w:ascii="Calibri" w:hAnsi="Calibri"/>
          <w:sz w:val="22"/>
          <w:szCs w:val="22"/>
        </w:rPr>
        <w:t xml:space="preserve"> sind wir im Internet seit Jahren der führende Makler für Ferienimmobilien auf Mallorca. Auch in der Ferienvermietung </w:t>
      </w:r>
      <w:r w:rsidR="00F71F40">
        <w:rPr>
          <w:rFonts w:ascii="Calibri" w:hAnsi="Calibri"/>
          <w:sz w:val="22"/>
          <w:szCs w:val="22"/>
        </w:rPr>
        <w:t xml:space="preserve">wollen wir </w:t>
      </w:r>
      <w:r w:rsidR="0099282B">
        <w:rPr>
          <w:rFonts w:ascii="Calibri" w:hAnsi="Calibri"/>
          <w:sz w:val="22"/>
          <w:szCs w:val="22"/>
        </w:rPr>
        <w:t xml:space="preserve">zu den </w:t>
      </w:r>
      <w:r w:rsidR="0071492C">
        <w:rPr>
          <w:rFonts w:ascii="Calibri" w:hAnsi="Calibri"/>
          <w:sz w:val="22"/>
          <w:szCs w:val="22"/>
        </w:rPr>
        <w:t xml:space="preserve">Marktführern </w:t>
      </w:r>
      <w:r w:rsidR="0099282B">
        <w:rPr>
          <w:rFonts w:ascii="Calibri" w:hAnsi="Calibri"/>
          <w:sz w:val="22"/>
          <w:szCs w:val="22"/>
        </w:rPr>
        <w:t xml:space="preserve">gehören und mit Top Villas </w:t>
      </w:r>
      <w:r w:rsidR="0025529D">
        <w:rPr>
          <w:rFonts w:ascii="Calibri" w:hAnsi="Calibri"/>
          <w:sz w:val="22"/>
          <w:szCs w:val="22"/>
        </w:rPr>
        <w:t>M</w:t>
      </w:r>
      <w:r w:rsidR="005706F1">
        <w:rPr>
          <w:rFonts w:ascii="Calibri" w:hAnsi="Calibri"/>
          <w:sz w:val="22"/>
          <w:szCs w:val="22"/>
        </w:rPr>
        <w:t>allorca</w:t>
      </w:r>
      <w:r w:rsidR="0025529D">
        <w:rPr>
          <w:rFonts w:ascii="Calibri" w:hAnsi="Calibri"/>
          <w:sz w:val="22"/>
          <w:szCs w:val="22"/>
        </w:rPr>
        <w:t xml:space="preserve"> </w:t>
      </w:r>
      <w:r w:rsidR="0099282B">
        <w:rPr>
          <w:rFonts w:ascii="Calibri" w:hAnsi="Calibri"/>
          <w:sz w:val="22"/>
          <w:szCs w:val="22"/>
        </w:rPr>
        <w:t xml:space="preserve">kommen wir diesem Ziel einen großen Schritt näher. </w:t>
      </w:r>
      <w:r w:rsidR="00F71F40">
        <w:rPr>
          <w:rFonts w:ascii="Calibri" w:hAnsi="Calibri"/>
          <w:sz w:val="22"/>
          <w:szCs w:val="22"/>
        </w:rPr>
        <w:t>M</w:t>
      </w:r>
      <w:r w:rsidR="0099282B">
        <w:rPr>
          <w:rFonts w:ascii="Calibri" w:hAnsi="Calibri"/>
          <w:sz w:val="22"/>
          <w:szCs w:val="22"/>
        </w:rPr>
        <w:t xml:space="preserve">it </w:t>
      </w:r>
      <w:r w:rsidR="00EE4935">
        <w:rPr>
          <w:rFonts w:ascii="Calibri" w:hAnsi="Calibri"/>
          <w:sz w:val="22"/>
          <w:szCs w:val="22"/>
        </w:rPr>
        <w:t>rund 1.000 Objekten haben wir eine wicht</w:t>
      </w:r>
      <w:r w:rsidR="0099282B">
        <w:rPr>
          <w:rFonts w:ascii="Calibri" w:hAnsi="Calibri"/>
          <w:sz w:val="22"/>
          <w:szCs w:val="22"/>
        </w:rPr>
        <w:t>ige Marke erreicht,</w:t>
      </w:r>
      <w:r w:rsidR="00A22E2F">
        <w:rPr>
          <w:rFonts w:ascii="Calibri" w:hAnsi="Calibri"/>
          <w:sz w:val="22"/>
          <w:szCs w:val="22"/>
        </w:rPr>
        <w:t xml:space="preserve"> um das Buchungsvolumen deutlich zu steigern und Skaleneffekte zu nutzen. </w:t>
      </w:r>
      <w:r w:rsidR="0099282B">
        <w:rPr>
          <w:rFonts w:ascii="Calibri" w:hAnsi="Calibri"/>
          <w:sz w:val="22"/>
          <w:szCs w:val="22"/>
        </w:rPr>
        <w:t xml:space="preserve">Damit haben wir die Voraussetzungen geschaffen, </w:t>
      </w:r>
      <w:r w:rsidR="0025529D">
        <w:rPr>
          <w:rFonts w:ascii="Calibri" w:hAnsi="Calibri"/>
          <w:sz w:val="22"/>
          <w:szCs w:val="22"/>
        </w:rPr>
        <w:t xml:space="preserve">dass </w:t>
      </w:r>
      <w:r w:rsidR="0099282B">
        <w:rPr>
          <w:rFonts w:ascii="Calibri" w:hAnsi="Calibri"/>
          <w:sz w:val="22"/>
          <w:szCs w:val="22"/>
        </w:rPr>
        <w:t xml:space="preserve">der Bereich Ferienvermietung ab 2019 deutlich positiv zur </w:t>
      </w:r>
      <w:r w:rsidR="0099282B" w:rsidRPr="00F00640">
        <w:rPr>
          <w:rFonts w:ascii="Calibri" w:hAnsi="Calibri"/>
          <w:sz w:val="22"/>
          <w:szCs w:val="22"/>
        </w:rPr>
        <w:t xml:space="preserve">Umsatz- und Ertragslage </w:t>
      </w:r>
      <w:r w:rsidR="0099282B">
        <w:rPr>
          <w:rFonts w:ascii="Calibri" w:hAnsi="Calibri"/>
          <w:sz w:val="22"/>
          <w:szCs w:val="22"/>
        </w:rPr>
        <w:t xml:space="preserve">der gesamten Homes &amp; Holiday Gruppe beitragen </w:t>
      </w:r>
      <w:r w:rsidR="00F71F40">
        <w:rPr>
          <w:rFonts w:ascii="Calibri" w:hAnsi="Calibri"/>
          <w:sz w:val="22"/>
          <w:szCs w:val="22"/>
        </w:rPr>
        <w:t>kann</w:t>
      </w:r>
      <w:r w:rsidR="0099282B">
        <w:rPr>
          <w:rFonts w:ascii="Calibri" w:hAnsi="Calibri"/>
          <w:sz w:val="22"/>
          <w:szCs w:val="22"/>
        </w:rPr>
        <w:t xml:space="preserve">.“ </w:t>
      </w:r>
    </w:p>
    <w:p w14:paraId="041D73FA" w14:textId="77777777" w:rsidR="00A31716" w:rsidRDefault="00A31716" w:rsidP="003C0F1A">
      <w:pPr>
        <w:spacing w:line="360" w:lineRule="auto"/>
        <w:rPr>
          <w:rFonts w:ascii="Calibri" w:hAnsi="Calibri"/>
          <w:sz w:val="22"/>
          <w:szCs w:val="22"/>
        </w:rPr>
      </w:pPr>
    </w:p>
    <w:p w14:paraId="78F6F677" w14:textId="77777777" w:rsidR="002771E8" w:rsidRDefault="006224C1" w:rsidP="002771E8">
      <w:pPr>
        <w:spacing w:line="360" w:lineRule="auto"/>
        <w:rPr>
          <w:rFonts w:ascii="Calibri" w:hAnsi="Calibri"/>
          <w:sz w:val="22"/>
          <w:szCs w:val="22"/>
        </w:rPr>
      </w:pPr>
      <w:r>
        <w:rPr>
          <w:rFonts w:ascii="Calibri" w:hAnsi="Calibri"/>
          <w:sz w:val="22"/>
          <w:szCs w:val="22"/>
        </w:rPr>
        <w:t xml:space="preserve">Ein Teil </w:t>
      </w:r>
      <w:r w:rsidR="00E90D9C">
        <w:rPr>
          <w:rFonts w:ascii="Calibri" w:hAnsi="Calibri"/>
          <w:sz w:val="22"/>
          <w:szCs w:val="22"/>
        </w:rPr>
        <w:t xml:space="preserve">der </w:t>
      </w:r>
      <w:r w:rsidR="00443B1E">
        <w:rPr>
          <w:rFonts w:ascii="Calibri" w:hAnsi="Calibri"/>
          <w:sz w:val="22"/>
          <w:szCs w:val="22"/>
        </w:rPr>
        <w:t>Kaufpreis</w:t>
      </w:r>
      <w:r w:rsidR="00E90D9C">
        <w:rPr>
          <w:rFonts w:ascii="Calibri" w:hAnsi="Calibri"/>
          <w:sz w:val="22"/>
          <w:szCs w:val="22"/>
        </w:rPr>
        <w:t>zahlung</w:t>
      </w:r>
      <w:r w:rsidR="00443B1E">
        <w:rPr>
          <w:rFonts w:ascii="Calibri" w:hAnsi="Calibri"/>
          <w:sz w:val="22"/>
          <w:szCs w:val="22"/>
        </w:rPr>
        <w:t xml:space="preserve"> </w:t>
      </w:r>
      <w:r w:rsidR="00A22E2F">
        <w:rPr>
          <w:rFonts w:ascii="Calibri" w:hAnsi="Calibri"/>
          <w:sz w:val="22"/>
          <w:szCs w:val="22"/>
        </w:rPr>
        <w:t>für Top Vill</w:t>
      </w:r>
      <w:r w:rsidR="0071492C">
        <w:rPr>
          <w:rFonts w:ascii="Calibri" w:hAnsi="Calibri"/>
          <w:sz w:val="22"/>
          <w:szCs w:val="22"/>
        </w:rPr>
        <w:t>a</w:t>
      </w:r>
      <w:r w:rsidR="00A22E2F">
        <w:rPr>
          <w:rFonts w:ascii="Calibri" w:hAnsi="Calibri"/>
          <w:sz w:val="22"/>
          <w:szCs w:val="22"/>
        </w:rPr>
        <w:t xml:space="preserve">s </w:t>
      </w:r>
      <w:r w:rsidR="0025529D">
        <w:rPr>
          <w:rFonts w:ascii="Calibri" w:hAnsi="Calibri"/>
          <w:sz w:val="22"/>
          <w:szCs w:val="22"/>
        </w:rPr>
        <w:t>M</w:t>
      </w:r>
      <w:r w:rsidR="005706F1">
        <w:rPr>
          <w:rFonts w:ascii="Calibri" w:hAnsi="Calibri"/>
          <w:sz w:val="22"/>
          <w:szCs w:val="22"/>
        </w:rPr>
        <w:t xml:space="preserve">allorca </w:t>
      </w:r>
      <w:r w:rsidR="00A22E2F">
        <w:rPr>
          <w:rFonts w:ascii="Calibri" w:hAnsi="Calibri"/>
          <w:sz w:val="22"/>
          <w:szCs w:val="22"/>
        </w:rPr>
        <w:t xml:space="preserve">wird </w:t>
      </w:r>
      <w:r>
        <w:rPr>
          <w:rFonts w:ascii="Calibri" w:hAnsi="Calibri"/>
          <w:sz w:val="22"/>
          <w:szCs w:val="22"/>
        </w:rPr>
        <w:t xml:space="preserve">liquiditätsschonend in Aktien der Homes &amp; Holiday AG </w:t>
      </w:r>
      <w:r w:rsidR="00E90D9C">
        <w:rPr>
          <w:rFonts w:ascii="Calibri" w:hAnsi="Calibri"/>
          <w:sz w:val="22"/>
          <w:szCs w:val="22"/>
        </w:rPr>
        <w:t>erfolgen</w:t>
      </w:r>
      <w:r>
        <w:rPr>
          <w:rFonts w:ascii="Calibri" w:hAnsi="Calibri"/>
          <w:sz w:val="22"/>
          <w:szCs w:val="22"/>
        </w:rPr>
        <w:t xml:space="preserve">. </w:t>
      </w:r>
      <w:r w:rsidR="00E90D9C">
        <w:rPr>
          <w:rFonts w:ascii="Calibri" w:hAnsi="Calibri"/>
          <w:sz w:val="22"/>
          <w:szCs w:val="22"/>
        </w:rPr>
        <w:t xml:space="preserve">Dazu </w:t>
      </w:r>
      <w:r w:rsidR="00367C9C">
        <w:rPr>
          <w:rFonts w:ascii="Calibri" w:hAnsi="Calibri"/>
          <w:sz w:val="22"/>
          <w:szCs w:val="22"/>
        </w:rPr>
        <w:t>ist die Durchführung</w:t>
      </w:r>
      <w:r w:rsidR="00E90D9C">
        <w:rPr>
          <w:rFonts w:ascii="Calibri" w:hAnsi="Calibri"/>
          <w:sz w:val="22"/>
          <w:szCs w:val="22"/>
        </w:rPr>
        <w:t xml:space="preserve"> eine</w:t>
      </w:r>
      <w:r w:rsidR="00367C9C">
        <w:rPr>
          <w:rFonts w:ascii="Calibri" w:hAnsi="Calibri"/>
          <w:sz w:val="22"/>
          <w:szCs w:val="22"/>
        </w:rPr>
        <w:t>r</w:t>
      </w:r>
      <w:r w:rsidR="00E90D9C">
        <w:rPr>
          <w:rFonts w:ascii="Calibri" w:hAnsi="Calibri"/>
          <w:sz w:val="22"/>
          <w:szCs w:val="22"/>
        </w:rPr>
        <w:t xml:space="preserve"> </w:t>
      </w:r>
      <w:r w:rsidR="00E90D9C" w:rsidRPr="00E90D9C">
        <w:rPr>
          <w:rFonts w:ascii="Calibri" w:hAnsi="Calibri"/>
          <w:sz w:val="22"/>
          <w:szCs w:val="22"/>
        </w:rPr>
        <w:t xml:space="preserve">Sachkapitalerhöhung </w:t>
      </w:r>
      <w:r w:rsidR="00E90D9C">
        <w:rPr>
          <w:rFonts w:ascii="Calibri" w:hAnsi="Calibri"/>
          <w:sz w:val="22"/>
          <w:szCs w:val="22"/>
        </w:rPr>
        <w:t xml:space="preserve">um </w:t>
      </w:r>
      <w:r w:rsidR="00E90D9C" w:rsidRPr="00E90D9C">
        <w:rPr>
          <w:rFonts w:ascii="Calibri" w:hAnsi="Calibri"/>
          <w:sz w:val="22"/>
          <w:szCs w:val="22"/>
        </w:rPr>
        <w:t>195.888 neue Aktien</w:t>
      </w:r>
      <w:r w:rsidR="00367C9C">
        <w:rPr>
          <w:rFonts w:ascii="Calibri" w:hAnsi="Calibri"/>
          <w:sz w:val="22"/>
          <w:szCs w:val="22"/>
        </w:rPr>
        <w:t xml:space="preserve"> </w:t>
      </w:r>
      <w:r w:rsidR="00E90D9C" w:rsidRPr="00E90D9C">
        <w:rPr>
          <w:rFonts w:ascii="Calibri" w:hAnsi="Calibri"/>
          <w:sz w:val="22"/>
          <w:szCs w:val="22"/>
        </w:rPr>
        <w:t xml:space="preserve">der Homes &amp; Holiday AG </w:t>
      </w:r>
      <w:r w:rsidR="00367C9C">
        <w:rPr>
          <w:rFonts w:ascii="Calibri" w:hAnsi="Calibri"/>
          <w:sz w:val="22"/>
          <w:szCs w:val="22"/>
        </w:rPr>
        <w:t>geplant</w:t>
      </w:r>
      <w:r w:rsidR="00E90D9C">
        <w:rPr>
          <w:rFonts w:ascii="Calibri" w:hAnsi="Calibri"/>
          <w:sz w:val="22"/>
          <w:szCs w:val="22"/>
        </w:rPr>
        <w:t xml:space="preserve">. </w:t>
      </w:r>
      <w:r w:rsidR="001C3B26">
        <w:rPr>
          <w:rFonts w:ascii="Calibri" w:hAnsi="Calibri"/>
          <w:sz w:val="22"/>
          <w:szCs w:val="22"/>
        </w:rPr>
        <w:t xml:space="preserve">Derzeit liegt </w:t>
      </w:r>
      <w:r w:rsidR="00717A02">
        <w:rPr>
          <w:rFonts w:ascii="Calibri" w:hAnsi="Calibri"/>
          <w:sz w:val="22"/>
          <w:szCs w:val="22"/>
        </w:rPr>
        <w:t>das</w:t>
      </w:r>
      <w:r w:rsidR="001C3B26">
        <w:rPr>
          <w:rFonts w:ascii="Calibri" w:hAnsi="Calibri"/>
          <w:sz w:val="22"/>
          <w:szCs w:val="22"/>
        </w:rPr>
        <w:t xml:space="preserve"> Grundkapital der Homes &amp; Holiday AG bei 12.614.724 Aktien. </w:t>
      </w:r>
      <w:r w:rsidR="00367C9C">
        <w:rPr>
          <w:rFonts w:ascii="Calibri" w:hAnsi="Calibri"/>
          <w:sz w:val="22"/>
          <w:szCs w:val="22"/>
        </w:rPr>
        <w:t>Die Bewertung der neuen Aktien entspricht mit 2,50 Euro je Aktie dem</w:t>
      </w:r>
      <w:r w:rsidR="00426EEF">
        <w:rPr>
          <w:rFonts w:ascii="Calibri" w:hAnsi="Calibri"/>
          <w:sz w:val="22"/>
          <w:szCs w:val="22"/>
        </w:rPr>
        <w:t xml:space="preserve"> Emissionsp</w:t>
      </w:r>
      <w:r w:rsidRPr="006224C1">
        <w:rPr>
          <w:rFonts w:ascii="Calibri" w:hAnsi="Calibri"/>
          <w:sz w:val="22"/>
          <w:szCs w:val="22"/>
        </w:rPr>
        <w:t>reis</w:t>
      </w:r>
      <w:r>
        <w:rPr>
          <w:rFonts w:ascii="Calibri" w:hAnsi="Calibri"/>
          <w:sz w:val="22"/>
          <w:szCs w:val="22"/>
        </w:rPr>
        <w:t xml:space="preserve"> beim Börsengang im Juli 2018</w:t>
      </w:r>
      <w:r w:rsidR="00367C9C">
        <w:rPr>
          <w:rFonts w:ascii="Calibri" w:hAnsi="Calibri"/>
          <w:sz w:val="22"/>
          <w:szCs w:val="22"/>
        </w:rPr>
        <w:t>. Darüber hinaus besteht eine Verpflichtung (</w:t>
      </w:r>
      <w:proofErr w:type="spellStart"/>
      <w:r w:rsidR="00367C9C">
        <w:rPr>
          <w:rFonts w:ascii="Calibri" w:hAnsi="Calibri"/>
          <w:sz w:val="22"/>
          <w:szCs w:val="22"/>
        </w:rPr>
        <w:t>Lockup</w:t>
      </w:r>
      <w:proofErr w:type="spellEnd"/>
      <w:r w:rsidR="00367C9C">
        <w:rPr>
          <w:rFonts w:ascii="Calibri" w:hAnsi="Calibri"/>
          <w:sz w:val="22"/>
          <w:szCs w:val="22"/>
        </w:rPr>
        <w:t xml:space="preserve">), die </w:t>
      </w:r>
      <w:r w:rsidR="00426EEF">
        <w:rPr>
          <w:rFonts w:ascii="Calibri" w:hAnsi="Calibri"/>
          <w:sz w:val="22"/>
          <w:szCs w:val="22"/>
        </w:rPr>
        <w:t xml:space="preserve">neuen </w:t>
      </w:r>
      <w:r w:rsidR="00367C9C" w:rsidRPr="00367C9C">
        <w:rPr>
          <w:rFonts w:ascii="Calibri" w:hAnsi="Calibri"/>
          <w:sz w:val="22"/>
          <w:szCs w:val="22"/>
        </w:rPr>
        <w:t>Aktien für eine</w:t>
      </w:r>
      <w:r w:rsidR="00426EEF">
        <w:rPr>
          <w:rFonts w:ascii="Calibri" w:hAnsi="Calibri"/>
          <w:sz w:val="22"/>
          <w:szCs w:val="22"/>
        </w:rPr>
        <w:t>n</w:t>
      </w:r>
      <w:r w:rsidR="00367C9C" w:rsidRPr="00367C9C">
        <w:rPr>
          <w:rFonts w:ascii="Calibri" w:hAnsi="Calibri"/>
          <w:sz w:val="22"/>
          <w:szCs w:val="22"/>
        </w:rPr>
        <w:t xml:space="preserve"> Mindestzeitraum von einem Jahr zu </w:t>
      </w:r>
      <w:r w:rsidR="00954A97">
        <w:rPr>
          <w:rFonts w:ascii="Calibri" w:hAnsi="Calibri"/>
          <w:sz w:val="22"/>
          <w:szCs w:val="22"/>
        </w:rPr>
        <w:t>halten</w:t>
      </w:r>
      <w:r w:rsidR="00367C9C" w:rsidRPr="00367C9C">
        <w:rPr>
          <w:rFonts w:ascii="Calibri" w:hAnsi="Calibri"/>
          <w:sz w:val="22"/>
          <w:szCs w:val="22"/>
        </w:rPr>
        <w:t>.</w:t>
      </w:r>
      <w:r w:rsidR="00367C9C">
        <w:rPr>
          <w:rFonts w:ascii="Calibri" w:hAnsi="Calibri"/>
          <w:sz w:val="22"/>
          <w:szCs w:val="22"/>
        </w:rPr>
        <w:t xml:space="preserve"> </w:t>
      </w:r>
      <w:r w:rsidR="00443B1E">
        <w:rPr>
          <w:rFonts w:ascii="Calibri" w:hAnsi="Calibri"/>
          <w:sz w:val="22"/>
          <w:szCs w:val="22"/>
        </w:rPr>
        <w:t>Über die Höhe der Bar-Komponente</w:t>
      </w:r>
      <w:r w:rsidR="00426EEF" w:rsidRPr="00426EEF">
        <w:rPr>
          <w:rFonts w:ascii="Calibri" w:hAnsi="Calibri"/>
          <w:sz w:val="22"/>
          <w:szCs w:val="22"/>
        </w:rPr>
        <w:t xml:space="preserve"> </w:t>
      </w:r>
      <w:r w:rsidR="00426EEF">
        <w:rPr>
          <w:rFonts w:ascii="Calibri" w:hAnsi="Calibri"/>
          <w:sz w:val="22"/>
          <w:szCs w:val="22"/>
        </w:rPr>
        <w:t xml:space="preserve">des Kaufpreises </w:t>
      </w:r>
      <w:r w:rsidR="00443B1E">
        <w:rPr>
          <w:rFonts w:ascii="Calibri" w:hAnsi="Calibri"/>
          <w:sz w:val="22"/>
          <w:szCs w:val="22"/>
        </w:rPr>
        <w:t xml:space="preserve">– </w:t>
      </w:r>
      <w:r w:rsidR="00426EEF">
        <w:rPr>
          <w:rFonts w:ascii="Calibri" w:hAnsi="Calibri"/>
          <w:sz w:val="22"/>
          <w:szCs w:val="22"/>
        </w:rPr>
        <w:t xml:space="preserve">die </w:t>
      </w:r>
      <w:r w:rsidR="00367C9C">
        <w:rPr>
          <w:rFonts w:ascii="Calibri" w:hAnsi="Calibri"/>
          <w:sz w:val="22"/>
          <w:szCs w:val="22"/>
        </w:rPr>
        <w:t xml:space="preserve">zu </w:t>
      </w:r>
      <w:r w:rsidR="00426EEF">
        <w:rPr>
          <w:rFonts w:ascii="Calibri" w:hAnsi="Calibri"/>
          <w:sz w:val="22"/>
          <w:szCs w:val="22"/>
        </w:rPr>
        <w:t xml:space="preserve">rund </w:t>
      </w:r>
      <w:r w:rsidR="00367C9C">
        <w:rPr>
          <w:rFonts w:ascii="Calibri" w:hAnsi="Calibri"/>
          <w:sz w:val="22"/>
          <w:szCs w:val="22"/>
        </w:rPr>
        <w:t>5</w:t>
      </w:r>
      <w:r w:rsidR="001C3B26">
        <w:rPr>
          <w:rFonts w:ascii="Calibri" w:hAnsi="Calibri"/>
          <w:sz w:val="22"/>
          <w:szCs w:val="22"/>
        </w:rPr>
        <w:t>4</w:t>
      </w:r>
      <w:r w:rsidR="00367C9C">
        <w:rPr>
          <w:rFonts w:ascii="Calibri" w:hAnsi="Calibri"/>
          <w:sz w:val="22"/>
          <w:szCs w:val="22"/>
        </w:rPr>
        <w:t xml:space="preserve">% </w:t>
      </w:r>
      <w:r w:rsidR="00443B1E">
        <w:rPr>
          <w:rFonts w:ascii="Calibri" w:hAnsi="Calibri"/>
          <w:sz w:val="22"/>
          <w:szCs w:val="22"/>
        </w:rPr>
        <w:t xml:space="preserve">an </w:t>
      </w:r>
      <w:r w:rsidR="00426EEF">
        <w:rPr>
          <w:rFonts w:ascii="Calibri" w:hAnsi="Calibri"/>
          <w:sz w:val="22"/>
          <w:szCs w:val="22"/>
        </w:rPr>
        <w:t>definierte</w:t>
      </w:r>
      <w:r w:rsidR="00367C9C" w:rsidRPr="00367C9C">
        <w:rPr>
          <w:rFonts w:ascii="Calibri" w:hAnsi="Calibri"/>
          <w:sz w:val="22"/>
          <w:szCs w:val="22"/>
        </w:rPr>
        <w:t xml:space="preserve"> Ertrags</w:t>
      </w:r>
      <w:r w:rsidR="0071492C">
        <w:rPr>
          <w:rFonts w:ascii="Calibri" w:hAnsi="Calibri"/>
          <w:sz w:val="22"/>
          <w:szCs w:val="22"/>
        </w:rPr>
        <w:t>z</w:t>
      </w:r>
      <w:r w:rsidR="00426EEF">
        <w:rPr>
          <w:rFonts w:ascii="Calibri" w:hAnsi="Calibri"/>
          <w:sz w:val="22"/>
          <w:szCs w:val="22"/>
        </w:rPr>
        <w:t xml:space="preserve">iele für die Jahre 2018 und 2019 </w:t>
      </w:r>
      <w:r w:rsidR="00443B1E">
        <w:rPr>
          <w:rFonts w:ascii="Calibri" w:hAnsi="Calibri"/>
          <w:sz w:val="22"/>
          <w:szCs w:val="22"/>
        </w:rPr>
        <w:t>gekoppelt ist –</w:t>
      </w:r>
      <w:r w:rsidR="00426EEF">
        <w:rPr>
          <w:rFonts w:ascii="Calibri" w:hAnsi="Calibri"/>
          <w:sz w:val="22"/>
          <w:szCs w:val="22"/>
        </w:rPr>
        <w:t xml:space="preserve"> </w:t>
      </w:r>
      <w:r w:rsidR="00443B1E">
        <w:rPr>
          <w:rFonts w:ascii="Calibri" w:hAnsi="Calibri"/>
          <w:sz w:val="22"/>
          <w:szCs w:val="22"/>
        </w:rPr>
        <w:t>wurde Stillschweigen vereinbart.</w:t>
      </w:r>
    </w:p>
    <w:p w14:paraId="355A195C" w14:textId="77777777" w:rsidR="006D0C1E" w:rsidRPr="006D0C1E" w:rsidRDefault="006D0C1E" w:rsidP="006D0C1E">
      <w:pPr>
        <w:rPr>
          <w:rFonts w:ascii="Calibri" w:hAnsi="Calibri"/>
          <w:sz w:val="22"/>
          <w:szCs w:val="22"/>
        </w:rPr>
      </w:pPr>
    </w:p>
    <w:p w14:paraId="5C8BA813" w14:textId="77777777" w:rsidR="003C0F1A" w:rsidRPr="00F36527" w:rsidRDefault="003C0F1A" w:rsidP="00F36527">
      <w:pPr>
        <w:spacing w:line="300" w:lineRule="exact"/>
        <w:rPr>
          <w:rFonts w:ascii="Calibri" w:hAnsi="Calibri"/>
          <w:b/>
          <w:sz w:val="20"/>
          <w:szCs w:val="20"/>
        </w:rPr>
      </w:pPr>
      <w:r w:rsidRPr="00F36527">
        <w:rPr>
          <w:rFonts w:ascii="Calibri" w:hAnsi="Calibri"/>
          <w:b/>
          <w:sz w:val="20"/>
          <w:szCs w:val="20"/>
        </w:rPr>
        <w:t xml:space="preserve">Kontakt </w:t>
      </w:r>
    </w:p>
    <w:p w14:paraId="74BBCFF1" w14:textId="77777777" w:rsidR="003C0F1A" w:rsidRPr="00F36527" w:rsidRDefault="003C0F1A" w:rsidP="00F36527">
      <w:pPr>
        <w:spacing w:line="300" w:lineRule="exact"/>
        <w:rPr>
          <w:rFonts w:ascii="Calibri" w:hAnsi="Calibri"/>
          <w:sz w:val="20"/>
          <w:szCs w:val="20"/>
        </w:rPr>
      </w:pPr>
      <w:r w:rsidRPr="00F36527">
        <w:rPr>
          <w:rFonts w:ascii="Calibri" w:hAnsi="Calibri"/>
          <w:sz w:val="20"/>
          <w:szCs w:val="20"/>
        </w:rPr>
        <w:t>Homes &amp; Holiday AG // Ludwigstraße 8 // 80539 München</w:t>
      </w:r>
      <w:r w:rsidR="00AF3F44">
        <w:rPr>
          <w:rFonts w:ascii="Calibri" w:hAnsi="Calibri"/>
          <w:sz w:val="20"/>
          <w:szCs w:val="20"/>
        </w:rPr>
        <w:t xml:space="preserve"> // </w:t>
      </w:r>
      <w:hyperlink r:id="rId12" w:history="1">
        <w:r w:rsidR="00AF3F44" w:rsidRPr="001E2E02">
          <w:rPr>
            <w:rStyle w:val="Hyperlink"/>
            <w:rFonts w:ascii="Calibri" w:hAnsi="Calibri"/>
            <w:sz w:val="20"/>
            <w:szCs w:val="20"/>
          </w:rPr>
          <w:t>https://www.homes-holiday.com</w:t>
        </w:r>
      </w:hyperlink>
    </w:p>
    <w:p w14:paraId="64255818" w14:textId="77777777" w:rsidR="00F71F40" w:rsidRDefault="00F71F40" w:rsidP="00F71F40">
      <w:pPr>
        <w:spacing w:line="240" w:lineRule="exact"/>
        <w:rPr>
          <w:rFonts w:ascii="Calibri" w:hAnsi="Calibri"/>
          <w:sz w:val="20"/>
          <w:szCs w:val="20"/>
        </w:rPr>
      </w:pPr>
    </w:p>
    <w:p w14:paraId="07B18131" w14:textId="77777777" w:rsidR="00F71F40" w:rsidRPr="00F71F40" w:rsidRDefault="00F71F40" w:rsidP="00F71F40">
      <w:pPr>
        <w:spacing w:line="240" w:lineRule="exact"/>
        <w:rPr>
          <w:rFonts w:ascii="Calibri" w:hAnsi="Calibri"/>
          <w:b/>
          <w:sz w:val="20"/>
          <w:szCs w:val="20"/>
        </w:rPr>
      </w:pPr>
      <w:r w:rsidRPr="00F71F40">
        <w:rPr>
          <w:rFonts w:ascii="Calibri" w:hAnsi="Calibri"/>
          <w:b/>
          <w:sz w:val="20"/>
          <w:szCs w:val="20"/>
        </w:rPr>
        <w:t>Presse</w:t>
      </w:r>
    </w:p>
    <w:p w14:paraId="3FB5DA91" w14:textId="77777777" w:rsidR="003C0F1A" w:rsidRDefault="00F71F40" w:rsidP="00F71F40">
      <w:pPr>
        <w:spacing w:line="240" w:lineRule="exact"/>
        <w:rPr>
          <w:rFonts w:ascii="Calibri" w:hAnsi="Calibri"/>
          <w:sz w:val="20"/>
          <w:szCs w:val="20"/>
        </w:rPr>
      </w:pPr>
      <w:r w:rsidRPr="00EF14AC">
        <w:rPr>
          <w:rFonts w:ascii="Calibri" w:hAnsi="Calibri"/>
          <w:sz w:val="20"/>
          <w:szCs w:val="20"/>
        </w:rPr>
        <w:t xml:space="preserve">Ulrike Eschenbecher // Tel. +49 171 753 26 10 // Tel. +49 89 2060 21 38 // </w:t>
      </w:r>
      <w:r w:rsidR="00E07A6B">
        <w:rPr>
          <w:rFonts w:ascii="Calibri" w:hAnsi="Calibri"/>
          <w:sz w:val="20"/>
          <w:szCs w:val="20"/>
          <w:lang w:val="en-US"/>
        </w:rPr>
        <w:t>ulrike.eschenbecher</w:t>
      </w:r>
      <w:r w:rsidRPr="00EF14AC">
        <w:rPr>
          <w:rFonts w:ascii="Calibri" w:hAnsi="Calibri"/>
          <w:sz w:val="20"/>
          <w:szCs w:val="20"/>
          <w:lang w:val="en-US"/>
        </w:rPr>
        <w:t>@homes-holiday.com</w:t>
      </w:r>
    </w:p>
    <w:p w14:paraId="3E8EB522" w14:textId="77777777" w:rsidR="00F71F40" w:rsidRPr="00F36527" w:rsidRDefault="00F71F40" w:rsidP="00F36527">
      <w:pPr>
        <w:spacing w:line="300" w:lineRule="exact"/>
        <w:rPr>
          <w:rFonts w:ascii="Calibri" w:hAnsi="Calibri"/>
          <w:sz w:val="20"/>
          <w:szCs w:val="20"/>
        </w:rPr>
      </w:pPr>
    </w:p>
    <w:p w14:paraId="03C7A5A2" w14:textId="77777777" w:rsidR="003C0F1A" w:rsidRPr="00F36527" w:rsidRDefault="003C0F1A" w:rsidP="00F36527">
      <w:pPr>
        <w:spacing w:line="300" w:lineRule="exact"/>
        <w:rPr>
          <w:rFonts w:ascii="Calibri" w:hAnsi="Calibri"/>
          <w:b/>
          <w:sz w:val="20"/>
          <w:szCs w:val="20"/>
        </w:rPr>
      </w:pPr>
      <w:r w:rsidRPr="00F36527">
        <w:rPr>
          <w:rFonts w:ascii="Calibri" w:hAnsi="Calibri"/>
          <w:b/>
          <w:sz w:val="20"/>
          <w:szCs w:val="20"/>
        </w:rPr>
        <w:t>Investor Relations</w:t>
      </w:r>
      <w:r w:rsidR="0015399E">
        <w:rPr>
          <w:rFonts w:ascii="Calibri" w:hAnsi="Calibri"/>
          <w:b/>
          <w:sz w:val="20"/>
          <w:szCs w:val="20"/>
        </w:rPr>
        <w:t xml:space="preserve"> &amp; Finanzpresse</w:t>
      </w:r>
    </w:p>
    <w:p w14:paraId="1D29E7E2" w14:textId="77777777" w:rsidR="003C0F1A" w:rsidRDefault="003C0F1A" w:rsidP="00F36527">
      <w:pPr>
        <w:spacing w:line="300" w:lineRule="exact"/>
        <w:rPr>
          <w:rFonts w:ascii="Calibri" w:hAnsi="Calibri"/>
          <w:sz w:val="20"/>
          <w:szCs w:val="20"/>
        </w:rPr>
      </w:pPr>
      <w:r w:rsidRPr="00F36527">
        <w:rPr>
          <w:rFonts w:ascii="Calibri" w:hAnsi="Calibri"/>
          <w:sz w:val="20"/>
          <w:szCs w:val="20"/>
        </w:rPr>
        <w:t>Fabian Lorenz  // Tel. +49 221 29 83 15 88 // ir@homes-holiday.com</w:t>
      </w:r>
    </w:p>
    <w:p w14:paraId="6BB18D22" w14:textId="77777777" w:rsidR="0038419A" w:rsidRDefault="0038419A" w:rsidP="00F36527">
      <w:pPr>
        <w:spacing w:line="300" w:lineRule="exact"/>
        <w:rPr>
          <w:rFonts w:ascii="Calibri" w:hAnsi="Calibri"/>
          <w:sz w:val="20"/>
          <w:szCs w:val="20"/>
        </w:rPr>
      </w:pPr>
    </w:p>
    <w:p w14:paraId="15804EDC" w14:textId="77777777" w:rsidR="0038419A" w:rsidRPr="00EF14AC" w:rsidRDefault="0038419A" w:rsidP="0038419A">
      <w:pPr>
        <w:spacing w:line="360" w:lineRule="auto"/>
        <w:rPr>
          <w:rFonts w:ascii="Calibri" w:hAnsi="Calibri"/>
          <w:b/>
          <w:sz w:val="20"/>
          <w:szCs w:val="20"/>
        </w:rPr>
      </w:pPr>
      <w:r w:rsidRPr="00EF14AC">
        <w:rPr>
          <w:rFonts w:ascii="Calibri" w:hAnsi="Calibri"/>
          <w:b/>
          <w:sz w:val="20"/>
          <w:szCs w:val="20"/>
        </w:rPr>
        <w:t xml:space="preserve">Über die Homes &amp; Holiday AG </w:t>
      </w:r>
    </w:p>
    <w:p w14:paraId="765E0AFC" w14:textId="77777777" w:rsidR="0038419A" w:rsidRDefault="0038419A" w:rsidP="0038419A">
      <w:pPr>
        <w:spacing w:line="360" w:lineRule="auto"/>
        <w:rPr>
          <w:rFonts w:ascii="Calibri" w:hAnsi="Calibri"/>
          <w:sz w:val="20"/>
          <w:szCs w:val="20"/>
        </w:rPr>
      </w:pPr>
      <w:r w:rsidRPr="00EF14AC">
        <w:rPr>
          <w:rFonts w:ascii="Calibri" w:hAnsi="Calibri"/>
          <w:sz w:val="20"/>
          <w:szCs w:val="20"/>
        </w:rPr>
        <w:t>Die Homes &amp; Holiday AG mit Sitz in München hat sich mit ihren Tochtergesellschaften Porta Mondial, Porta Mallorquin</w:t>
      </w:r>
      <w:r>
        <w:rPr>
          <w:rFonts w:ascii="Calibri" w:hAnsi="Calibri"/>
          <w:sz w:val="20"/>
          <w:szCs w:val="20"/>
        </w:rPr>
        <w:t xml:space="preserve">a und Porta Holiday als erstes </w:t>
      </w:r>
      <w:r w:rsidRPr="00EF14AC">
        <w:rPr>
          <w:rFonts w:ascii="Calibri" w:hAnsi="Calibri"/>
          <w:sz w:val="20"/>
          <w:szCs w:val="20"/>
        </w:rPr>
        <w:t xml:space="preserve">Franchisesystem auf Ferienimmobilien spezialisiert. Innerhalb eines integrierten Geschäftsmodells bietet die Gruppe alle Dienstleistungen vom klassischen Maklergeschäft (Porta </w:t>
      </w:r>
      <w:r w:rsidRPr="00EF14AC">
        <w:rPr>
          <w:rFonts w:ascii="Calibri" w:hAnsi="Calibri"/>
          <w:sz w:val="20"/>
          <w:szCs w:val="20"/>
        </w:rPr>
        <w:lastRenderedPageBreak/>
        <w:t xml:space="preserve">Mondial/Porta Mallorquina), Ferienvermietung (Porta Holiday) bis Property Management (über externe </w:t>
      </w:r>
      <w:r>
        <w:rPr>
          <w:rFonts w:ascii="Calibri" w:hAnsi="Calibri"/>
          <w:sz w:val="20"/>
          <w:szCs w:val="20"/>
        </w:rPr>
        <w:t>Dienstleister</w:t>
      </w:r>
      <w:r w:rsidRPr="00EF14AC">
        <w:rPr>
          <w:rFonts w:ascii="Calibri" w:hAnsi="Calibri"/>
          <w:sz w:val="20"/>
          <w:szCs w:val="20"/>
        </w:rPr>
        <w:t>) an. Dabei konzentriert sich die Gruppe</w:t>
      </w:r>
      <w:r>
        <w:rPr>
          <w:rFonts w:ascii="Calibri" w:hAnsi="Calibri"/>
          <w:sz w:val="20"/>
          <w:szCs w:val="20"/>
        </w:rPr>
        <w:t xml:space="preserve"> mit ihren 21 Standorten</w:t>
      </w:r>
      <w:r w:rsidRPr="00EF14AC">
        <w:rPr>
          <w:rFonts w:ascii="Calibri" w:hAnsi="Calibri"/>
          <w:sz w:val="20"/>
          <w:szCs w:val="20"/>
        </w:rPr>
        <w:t xml:space="preserve"> auf Spanien und Deutschland, Europas attraktivste Märkte für Ferienimmobilien. Im Jahr </w:t>
      </w:r>
      <w:r w:rsidRPr="007A1796">
        <w:rPr>
          <w:rFonts w:ascii="Calibri" w:hAnsi="Calibri"/>
          <w:sz w:val="20"/>
          <w:szCs w:val="20"/>
        </w:rPr>
        <w:t xml:space="preserve">2017 </w:t>
      </w:r>
      <w:r w:rsidR="0090346A">
        <w:rPr>
          <w:rFonts w:ascii="Calibri" w:hAnsi="Calibri"/>
          <w:sz w:val="20"/>
          <w:szCs w:val="20"/>
        </w:rPr>
        <w:t xml:space="preserve">erhöhte </w:t>
      </w:r>
      <w:r w:rsidRPr="007A1796">
        <w:rPr>
          <w:rFonts w:ascii="Calibri" w:hAnsi="Calibri"/>
          <w:sz w:val="20"/>
          <w:szCs w:val="20"/>
        </w:rPr>
        <w:t>die Homes</w:t>
      </w:r>
      <w:r w:rsidRPr="00EF14AC">
        <w:rPr>
          <w:rFonts w:ascii="Calibri" w:hAnsi="Calibri"/>
          <w:sz w:val="20"/>
          <w:szCs w:val="20"/>
        </w:rPr>
        <w:t xml:space="preserve"> &amp; Holiday Gruppe ihre Verkaufs</w:t>
      </w:r>
      <w:r>
        <w:rPr>
          <w:rFonts w:ascii="Calibri" w:hAnsi="Calibri"/>
          <w:sz w:val="20"/>
          <w:szCs w:val="20"/>
        </w:rPr>
        <w:t>- und Buchungs</w:t>
      </w:r>
      <w:r w:rsidRPr="00EF14AC">
        <w:rPr>
          <w:rFonts w:ascii="Calibri" w:hAnsi="Calibri"/>
          <w:sz w:val="20"/>
          <w:szCs w:val="20"/>
        </w:rPr>
        <w:t xml:space="preserve">umsätze um mehr als </w:t>
      </w:r>
      <w:r>
        <w:rPr>
          <w:rFonts w:ascii="Calibri" w:hAnsi="Calibri"/>
          <w:sz w:val="20"/>
          <w:szCs w:val="20"/>
        </w:rPr>
        <w:t>47</w:t>
      </w:r>
      <w:r w:rsidRPr="00EF14AC">
        <w:rPr>
          <w:rFonts w:ascii="Calibri" w:hAnsi="Calibri"/>
          <w:sz w:val="20"/>
          <w:szCs w:val="20"/>
        </w:rPr>
        <w:t xml:space="preserve">% auf über </w:t>
      </w:r>
      <w:r>
        <w:rPr>
          <w:rFonts w:ascii="Calibri" w:hAnsi="Calibri"/>
          <w:sz w:val="20"/>
          <w:szCs w:val="20"/>
        </w:rPr>
        <w:t>139</w:t>
      </w:r>
      <w:r w:rsidRPr="00EF14AC">
        <w:rPr>
          <w:rFonts w:ascii="Calibri" w:hAnsi="Calibri"/>
          <w:sz w:val="20"/>
          <w:szCs w:val="20"/>
        </w:rPr>
        <w:t xml:space="preserve"> Mio. Euro. </w:t>
      </w:r>
    </w:p>
    <w:p w14:paraId="10D8672D" w14:textId="77777777" w:rsidR="0038419A" w:rsidRPr="00F36527" w:rsidRDefault="0038419A" w:rsidP="00F36527">
      <w:pPr>
        <w:spacing w:line="300" w:lineRule="exact"/>
        <w:rPr>
          <w:rFonts w:ascii="Calibri" w:hAnsi="Calibri"/>
          <w:sz w:val="20"/>
          <w:szCs w:val="20"/>
        </w:rPr>
      </w:pPr>
    </w:p>
    <w:p w14:paraId="58FAE61D" w14:textId="77777777" w:rsidR="003C0F1A" w:rsidRPr="00F36527" w:rsidRDefault="003C0F1A" w:rsidP="00F36527">
      <w:pPr>
        <w:spacing w:line="300" w:lineRule="exact"/>
        <w:rPr>
          <w:rFonts w:ascii="Calibri" w:hAnsi="Calibri"/>
          <w:sz w:val="20"/>
          <w:szCs w:val="20"/>
        </w:rPr>
      </w:pPr>
    </w:p>
    <w:p w14:paraId="2C5ACC4A" w14:textId="77777777" w:rsidR="00FD46F1" w:rsidRPr="00D17F35" w:rsidRDefault="00FD46F1" w:rsidP="00F36527">
      <w:pPr>
        <w:spacing w:line="300" w:lineRule="exact"/>
        <w:rPr>
          <w:rFonts w:ascii="Calibri" w:hAnsi="Calibri"/>
          <w:sz w:val="20"/>
          <w:szCs w:val="20"/>
        </w:rPr>
      </w:pPr>
    </w:p>
    <w:sectPr w:rsidR="00FD46F1" w:rsidRPr="00D17F35" w:rsidSect="00F71F40">
      <w:headerReference w:type="default" r:id="rId13"/>
      <w:footerReference w:type="default" r:id="rId14"/>
      <w:pgSz w:w="11906" w:h="16838"/>
      <w:pgMar w:top="1560" w:right="991" w:bottom="1985"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4400" w14:textId="77777777" w:rsidR="00A05D3E" w:rsidRDefault="00A05D3E" w:rsidP="00A40697">
      <w:r>
        <w:separator/>
      </w:r>
    </w:p>
  </w:endnote>
  <w:endnote w:type="continuationSeparator" w:id="0">
    <w:p w14:paraId="44242DF9" w14:textId="77777777" w:rsidR="00A05D3E" w:rsidRDefault="00A05D3E" w:rsidP="00A40697">
      <w:r>
        <w:continuationSeparator/>
      </w:r>
    </w:p>
  </w:endnote>
  <w:endnote w:type="continuationNotice" w:id="1">
    <w:p w14:paraId="366A5514" w14:textId="77777777" w:rsidR="00A05D3E" w:rsidRDefault="00A05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Std 55 Roman">
    <w:altName w:val="Calibri"/>
    <w:charset w:val="00"/>
    <w:family w:val="auto"/>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64FF" w14:textId="77777777" w:rsidR="0099282B" w:rsidRDefault="009928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6722" w14:textId="77777777" w:rsidR="00A05D3E" w:rsidRDefault="00A05D3E" w:rsidP="00A40697">
      <w:r>
        <w:separator/>
      </w:r>
    </w:p>
  </w:footnote>
  <w:footnote w:type="continuationSeparator" w:id="0">
    <w:p w14:paraId="0D50BEB0" w14:textId="77777777" w:rsidR="00A05D3E" w:rsidRDefault="00A05D3E" w:rsidP="00A40697">
      <w:r>
        <w:continuationSeparator/>
      </w:r>
    </w:p>
  </w:footnote>
  <w:footnote w:type="continuationNotice" w:id="1">
    <w:p w14:paraId="1AFC2474" w14:textId="77777777" w:rsidR="00A05D3E" w:rsidRDefault="00A05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9CC0" w14:textId="77777777" w:rsidR="0099282B" w:rsidRDefault="0099282B" w:rsidP="00C054CE">
    <w:pPr>
      <w:pStyle w:val="Kopfzeile"/>
      <w:jc w:val="right"/>
    </w:pPr>
    <w:r>
      <w:rPr>
        <w:noProof/>
      </w:rPr>
      <w:drawing>
        <wp:inline distT="0" distB="0" distL="0" distR="0" wp14:anchorId="40267764" wp14:editId="1EBF1477">
          <wp:extent cx="2538805" cy="211667"/>
          <wp:effectExtent l="0" t="0" r="1270" b="0"/>
          <wp:docPr id="2" name="Bild 2" descr="Macintosh HD:Florenz Kommunikation:Bestehende Kunden:GBC:Porta:Logos:Logo_Homes&amp;Holiday_grau_orang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Florenz Kommunikation:Bestehende Kunden:GBC:Porta:Logos:Logo_Homes&amp;Holiday_grau_orang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490" cy="211974"/>
                  </a:xfrm>
                  <a:prstGeom prst="rect">
                    <a:avLst/>
                  </a:prstGeom>
                  <a:noFill/>
                  <a:ln>
                    <a:noFill/>
                  </a:ln>
                </pic:spPr>
              </pic:pic>
            </a:graphicData>
          </a:graphic>
        </wp:inline>
      </w:drawing>
    </w:r>
  </w:p>
  <w:p w14:paraId="1D1B3497" w14:textId="77777777" w:rsidR="0099282B" w:rsidRDefault="0099282B" w:rsidP="00C054C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25096"/>
    <w:multiLevelType w:val="hybridMultilevel"/>
    <w:tmpl w:val="8146BA7C"/>
    <w:lvl w:ilvl="0" w:tplc="6832BD38">
      <w:numFmt w:val="bullet"/>
      <w:lvlText w:val="-"/>
      <w:lvlJc w:val="left"/>
      <w:pPr>
        <w:ind w:left="360" w:hanging="360"/>
      </w:pPr>
      <w:rPr>
        <w:rFonts w:ascii="Frutiger LT Std 55 Roman" w:eastAsia="Times New Roman" w:hAnsi="Frutiger LT Std 55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97"/>
    <w:rsid w:val="00000129"/>
    <w:rsid w:val="00002D3C"/>
    <w:rsid w:val="000044A4"/>
    <w:rsid w:val="000054E3"/>
    <w:rsid w:val="00005659"/>
    <w:rsid w:val="00006600"/>
    <w:rsid w:val="00014CC2"/>
    <w:rsid w:val="000154CB"/>
    <w:rsid w:val="0002056F"/>
    <w:rsid w:val="00023939"/>
    <w:rsid w:val="00023DBE"/>
    <w:rsid w:val="00025A6F"/>
    <w:rsid w:val="00026376"/>
    <w:rsid w:val="00031D18"/>
    <w:rsid w:val="000347ED"/>
    <w:rsid w:val="00035FD2"/>
    <w:rsid w:val="0003733B"/>
    <w:rsid w:val="00037BE3"/>
    <w:rsid w:val="00041060"/>
    <w:rsid w:val="00042339"/>
    <w:rsid w:val="00047069"/>
    <w:rsid w:val="00050944"/>
    <w:rsid w:val="00050D27"/>
    <w:rsid w:val="00055188"/>
    <w:rsid w:val="00057D09"/>
    <w:rsid w:val="0006270D"/>
    <w:rsid w:val="000653F7"/>
    <w:rsid w:val="00067962"/>
    <w:rsid w:val="00074D26"/>
    <w:rsid w:val="000752C0"/>
    <w:rsid w:val="00076998"/>
    <w:rsid w:val="00085A15"/>
    <w:rsid w:val="00086D53"/>
    <w:rsid w:val="000912C9"/>
    <w:rsid w:val="000932DB"/>
    <w:rsid w:val="000A3D60"/>
    <w:rsid w:val="000A41B1"/>
    <w:rsid w:val="000B09E4"/>
    <w:rsid w:val="000B4426"/>
    <w:rsid w:val="000B63AD"/>
    <w:rsid w:val="000C4177"/>
    <w:rsid w:val="000C54F3"/>
    <w:rsid w:val="000D61FB"/>
    <w:rsid w:val="000E49A9"/>
    <w:rsid w:val="000F0036"/>
    <w:rsid w:val="000F2F0C"/>
    <w:rsid w:val="000F3083"/>
    <w:rsid w:val="0010426A"/>
    <w:rsid w:val="001064B7"/>
    <w:rsid w:val="00106E88"/>
    <w:rsid w:val="001101F0"/>
    <w:rsid w:val="001120B0"/>
    <w:rsid w:val="001171AD"/>
    <w:rsid w:val="00126208"/>
    <w:rsid w:val="00126B84"/>
    <w:rsid w:val="001338FF"/>
    <w:rsid w:val="00135A26"/>
    <w:rsid w:val="00137E8F"/>
    <w:rsid w:val="00145928"/>
    <w:rsid w:val="001465EC"/>
    <w:rsid w:val="00152F9C"/>
    <w:rsid w:val="0015399E"/>
    <w:rsid w:val="00162134"/>
    <w:rsid w:val="00162282"/>
    <w:rsid w:val="00165EBF"/>
    <w:rsid w:val="00175B42"/>
    <w:rsid w:val="00176290"/>
    <w:rsid w:val="00186790"/>
    <w:rsid w:val="001934C2"/>
    <w:rsid w:val="001945F0"/>
    <w:rsid w:val="00194F3B"/>
    <w:rsid w:val="001A5507"/>
    <w:rsid w:val="001A664F"/>
    <w:rsid w:val="001B09B6"/>
    <w:rsid w:val="001B1E82"/>
    <w:rsid w:val="001B4579"/>
    <w:rsid w:val="001C2650"/>
    <w:rsid w:val="001C3B26"/>
    <w:rsid w:val="001C50DC"/>
    <w:rsid w:val="001C6E83"/>
    <w:rsid w:val="001C6FFE"/>
    <w:rsid w:val="001C71C7"/>
    <w:rsid w:val="001D3CCA"/>
    <w:rsid w:val="001D4C3F"/>
    <w:rsid w:val="001D5DB4"/>
    <w:rsid w:val="001D6753"/>
    <w:rsid w:val="001E14A8"/>
    <w:rsid w:val="001E1FFE"/>
    <w:rsid w:val="001E2E02"/>
    <w:rsid w:val="001E3CB2"/>
    <w:rsid w:val="001E51FD"/>
    <w:rsid w:val="001E6A35"/>
    <w:rsid w:val="001E7607"/>
    <w:rsid w:val="001F230A"/>
    <w:rsid w:val="001F6F77"/>
    <w:rsid w:val="001F7664"/>
    <w:rsid w:val="00201AEA"/>
    <w:rsid w:val="0021015C"/>
    <w:rsid w:val="002123E2"/>
    <w:rsid w:val="002162DF"/>
    <w:rsid w:val="002168FC"/>
    <w:rsid w:val="00223D7E"/>
    <w:rsid w:val="00224795"/>
    <w:rsid w:val="002378CC"/>
    <w:rsid w:val="0024187B"/>
    <w:rsid w:val="002436A1"/>
    <w:rsid w:val="0025529D"/>
    <w:rsid w:val="002568AC"/>
    <w:rsid w:val="002610A0"/>
    <w:rsid w:val="00262435"/>
    <w:rsid w:val="00262A73"/>
    <w:rsid w:val="00264540"/>
    <w:rsid w:val="00264EE4"/>
    <w:rsid w:val="00266D24"/>
    <w:rsid w:val="0026737E"/>
    <w:rsid w:val="002706A4"/>
    <w:rsid w:val="00274C4B"/>
    <w:rsid w:val="00275F82"/>
    <w:rsid w:val="002771E8"/>
    <w:rsid w:val="00283FA2"/>
    <w:rsid w:val="00287C8A"/>
    <w:rsid w:val="0029151A"/>
    <w:rsid w:val="00292616"/>
    <w:rsid w:val="00294376"/>
    <w:rsid w:val="00294815"/>
    <w:rsid w:val="002950E3"/>
    <w:rsid w:val="002A2442"/>
    <w:rsid w:val="002B02DD"/>
    <w:rsid w:val="002B0E38"/>
    <w:rsid w:val="002B3E4E"/>
    <w:rsid w:val="002B48C1"/>
    <w:rsid w:val="002C0F67"/>
    <w:rsid w:val="002C17E0"/>
    <w:rsid w:val="002C7279"/>
    <w:rsid w:val="002D1487"/>
    <w:rsid w:val="002D611D"/>
    <w:rsid w:val="002E1FEB"/>
    <w:rsid w:val="002E369D"/>
    <w:rsid w:val="002F28B1"/>
    <w:rsid w:val="002F3BC5"/>
    <w:rsid w:val="002F4BB2"/>
    <w:rsid w:val="002F62AF"/>
    <w:rsid w:val="00311584"/>
    <w:rsid w:val="00321ABB"/>
    <w:rsid w:val="003253D2"/>
    <w:rsid w:val="00332142"/>
    <w:rsid w:val="00332405"/>
    <w:rsid w:val="00332FB6"/>
    <w:rsid w:val="00333C2D"/>
    <w:rsid w:val="0034324C"/>
    <w:rsid w:val="00353C09"/>
    <w:rsid w:val="00353D46"/>
    <w:rsid w:val="00360125"/>
    <w:rsid w:val="00365FB5"/>
    <w:rsid w:val="00367C9C"/>
    <w:rsid w:val="00372B1A"/>
    <w:rsid w:val="003759A4"/>
    <w:rsid w:val="00375A97"/>
    <w:rsid w:val="00382491"/>
    <w:rsid w:val="0038419A"/>
    <w:rsid w:val="003901A9"/>
    <w:rsid w:val="003938C0"/>
    <w:rsid w:val="003962DE"/>
    <w:rsid w:val="00397537"/>
    <w:rsid w:val="003A448D"/>
    <w:rsid w:val="003A67DC"/>
    <w:rsid w:val="003A70AC"/>
    <w:rsid w:val="003B7E24"/>
    <w:rsid w:val="003B7E61"/>
    <w:rsid w:val="003C0509"/>
    <w:rsid w:val="003C0F1A"/>
    <w:rsid w:val="003C56FB"/>
    <w:rsid w:val="003D278A"/>
    <w:rsid w:val="003D61FA"/>
    <w:rsid w:val="003D6550"/>
    <w:rsid w:val="00402769"/>
    <w:rsid w:val="0040276F"/>
    <w:rsid w:val="00404B53"/>
    <w:rsid w:val="00421CA7"/>
    <w:rsid w:val="00422024"/>
    <w:rsid w:val="0042244D"/>
    <w:rsid w:val="00424210"/>
    <w:rsid w:val="00426286"/>
    <w:rsid w:val="00426EEF"/>
    <w:rsid w:val="00431726"/>
    <w:rsid w:val="004413F5"/>
    <w:rsid w:val="0044305D"/>
    <w:rsid w:val="00443331"/>
    <w:rsid w:val="00443B1E"/>
    <w:rsid w:val="00444CCB"/>
    <w:rsid w:val="00451950"/>
    <w:rsid w:val="0045510C"/>
    <w:rsid w:val="00455197"/>
    <w:rsid w:val="00460E05"/>
    <w:rsid w:val="00462F8A"/>
    <w:rsid w:val="00466A06"/>
    <w:rsid w:val="004679DB"/>
    <w:rsid w:val="00470840"/>
    <w:rsid w:val="00476605"/>
    <w:rsid w:val="00477548"/>
    <w:rsid w:val="004808D8"/>
    <w:rsid w:val="00486E0A"/>
    <w:rsid w:val="00494114"/>
    <w:rsid w:val="004955B3"/>
    <w:rsid w:val="0049588D"/>
    <w:rsid w:val="004A0B11"/>
    <w:rsid w:val="004A1007"/>
    <w:rsid w:val="004A4D56"/>
    <w:rsid w:val="004A6E75"/>
    <w:rsid w:val="004A7CE7"/>
    <w:rsid w:val="004B2D3B"/>
    <w:rsid w:val="004B2F5E"/>
    <w:rsid w:val="004B4CAB"/>
    <w:rsid w:val="004B7EF9"/>
    <w:rsid w:val="004C0433"/>
    <w:rsid w:val="004C1472"/>
    <w:rsid w:val="004D2750"/>
    <w:rsid w:val="004E1775"/>
    <w:rsid w:val="004E3171"/>
    <w:rsid w:val="004E539E"/>
    <w:rsid w:val="004E754A"/>
    <w:rsid w:val="004F60E1"/>
    <w:rsid w:val="004F72E8"/>
    <w:rsid w:val="00501C39"/>
    <w:rsid w:val="00501EF5"/>
    <w:rsid w:val="00505881"/>
    <w:rsid w:val="0051031C"/>
    <w:rsid w:val="005111B2"/>
    <w:rsid w:val="00516265"/>
    <w:rsid w:val="0051741A"/>
    <w:rsid w:val="00524CB3"/>
    <w:rsid w:val="0052583D"/>
    <w:rsid w:val="0052610E"/>
    <w:rsid w:val="00533B8E"/>
    <w:rsid w:val="00542D27"/>
    <w:rsid w:val="00543D16"/>
    <w:rsid w:val="005441A0"/>
    <w:rsid w:val="00545F22"/>
    <w:rsid w:val="00547C5D"/>
    <w:rsid w:val="00561A9A"/>
    <w:rsid w:val="00567228"/>
    <w:rsid w:val="005706F1"/>
    <w:rsid w:val="005716C2"/>
    <w:rsid w:val="00574600"/>
    <w:rsid w:val="00581F68"/>
    <w:rsid w:val="00591A4C"/>
    <w:rsid w:val="00594154"/>
    <w:rsid w:val="005A1BAB"/>
    <w:rsid w:val="005A2F94"/>
    <w:rsid w:val="005A4B8A"/>
    <w:rsid w:val="005A6372"/>
    <w:rsid w:val="005B1A3A"/>
    <w:rsid w:val="005B3824"/>
    <w:rsid w:val="005B48BD"/>
    <w:rsid w:val="005B4D66"/>
    <w:rsid w:val="005C0E2E"/>
    <w:rsid w:val="005C5247"/>
    <w:rsid w:val="005D2536"/>
    <w:rsid w:val="005D5618"/>
    <w:rsid w:val="005D760B"/>
    <w:rsid w:val="005E02D4"/>
    <w:rsid w:val="005F76EE"/>
    <w:rsid w:val="006023F0"/>
    <w:rsid w:val="00605FDC"/>
    <w:rsid w:val="00612520"/>
    <w:rsid w:val="00613373"/>
    <w:rsid w:val="00620777"/>
    <w:rsid w:val="0062086C"/>
    <w:rsid w:val="006224C1"/>
    <w:rsid w:val="00622EBC"/>
    <w:rsid w:val="00625262"/>
    <w:rsid w:val="00625E7A"/>
    <w:rsid w:val="00633B78"/>
    <w:rsid w:val="0063612C"/>
    <w:rsid w:val="0064087A"/>
    <w:rsid w:val="00643C82"/>
    <w:rsid w:val="00645568"/>
    <w:rsid w:val="00645F91"/>
    <w:rsid w:val="00655A73"/>
    <w:rsid w:val="00671128"/>
    <w:rsid w:val="00671B13"/>
    <w:rsid w:val="00676B1A"/>
    <w:rsid w:val="0067741E"/>
    <w:rsid w:val="006778FC"/>
    <w:rsid w:val="00681476"/>
    <w:rsid w:val="00683054"/>
    <w:rsid w:val="006834CD"/>
    <w:rsid w:val="006850F6"/>
    <w:rsid w:val="00685781"/>
    <w:rsid w:val="00692B96"/>
    <w:rsid w:val="0069621A"/>
    <w:rsid w:val="006A3B16"/>
    <w:rsid w:val="006A4672"/>
    <w:rsid w:val="006A6130"/>
    <w:rsid w:val="006A71C5"/>
    <w:rsid w:val="006B5897"/>
    <w:rsid w:val="006C03C3"/>
    <w:rsid w:val="006C08B1"/>
    <w:rsid w:val="006C1495"/>
    <w:rsid w:val="006C1D3A"/>
    <w:rsid w:val="006C285A"/>
    <w:rsid w:val="006D0C1E"/>
    <w:rsid w:val="006D1A96"/>
    <w:rsid w:val="006D246D"/>
    <w:rsid w:val="006E0AB6"/>
    <w:rsid w:val="006E22F6"/>
    <w:rsid w:val="006F1AB1"/>
    <w:rsid w:val="006F1EB9"/>
    <w:rsid w:val="006F59F1"/>
    <w:rsid w:val="007023E3"/>
    <w:rsid w:val="00705E2F"/>
    <w:rsid w:val="007072AD"/>
    <w:rsid w:val="00707B02"/>
    <w:rsid w:val="007136CE"/>
    <w:rsid w:val="0071492C"/>
    <w:rsid w:val="007169A9"/>
    <w:rsid w:val="00717A02"/>
    <w:rsid w:val="00717D26"/>
    <w:rsid w:val="00722CD6"/>
    <w:rsid w:val="00723B97"/>
    <w:rsid w:val="007301B8"/>
    <w:rsid w:val="007415CB"/>
    <w:rsid w:val="0074168E"/>
    <w:rsid w:val="00742E5C"/>
    <w:rsid w:val="007436C3"/>
    <w:rsid w:val="00746A09"/>
    <w:rsid w:val="007512D3"/>
    <w:rsid w:val="007558EC"/>
    <w:rsid w:val="00760D33"/>
    <w:rsid w:val="00764E4F"/>
    <w:rsid w:val="00767444"/>
    <w:rsid w:val="00772F0C"/>
    <w:rsid w:val="0077370A"/>
    <w:rsid w:val="00790D5D"/>
    <w:rsid w:val="00791B0E"/>
    <w:rsid w:val="00791E3E"/>
    <w:rsid w:val="0079209C"/>
    <w:rsid w:val="00793EC4"/>
    <w:rsid w:val="007945BA"/>
    <w:rsid w:val="00795910"/>
    <w:rsid w:val="00796BB0"/>
    <w:rsid w:val="00797003"/>
    <w:rsid w:val="007A1796"/>
    <w:rsid w:val="007A6793"/>
    <w:rsid w:val="007B1E43"/>
    <w:rsid w:val="007B7682"/>
    <w:rsid w:val="007D2875"/>
    <w:rsid w:val="007D2A87"/>
    <w:rsid w:val="007E276A"/>
    <w:rsid w:val="007E5164"/>
    <w:rsid w:val="007E6029"/>
    <w:rsid w:val="007F0A9C"/>
    <w:rsid w:val="007F12A7"/>
    <w:rsid w:val="007F2EB5"/>
    <w:rsid w:val="007F4F5F"/>
    <w:rsid w:val="008011C1"/>
    <w:rsid w:val="0080642F"/>
    <w:rsid w:val="008117E0"/>
    <w:rsid w:val="008207B9"/>
    <w:rsid w:val="00821BC7"/>
    <w:rsid w:val="00822DC8"/>
    <w:rsid w:val="00823ECA"/>
    <w:rsid w:val="008258D9"/>
    <w:rsid w:val="0082746B"/>
    <w:rsid w:val="00836EA8"/>
    <w:rsid w:val="008400D5"/>
    <w:rsid w:val="00843BE1"/>
    <w:rsid w:val="00844F28"/>
    <w:rsid w:val="0085521D"/>
    <w:rsid w:val="008564E9"/>
    <w:rsid w:val="008579E5"/>
    <w:rsid w:val="00860A40"/>
    <w:rsid w:val="00866C34"/>
    <w:rsid w:val="00872117"/>
    <w:rsid w:val="008736B6"/>
    <w:rsid w:val="008777CD"/>
    <w:rsid w:val="008805C3"/>
    <w:rsid w:val="00884A5C"/>
    <w:rsid w:val="00884CB3"/>
    <w:rsid w:val="00885EC0"/>
    <w:rsid w:val="008951A6"/>
    <w:rsid w:val="00897358"/>
    <w:rsid w:val="00897B95"/>
    <w:rsid w:val="008A206F"/>
    <w:rsid w:val="008A362A"/>
    <w:rsid w:val="008C0939"/>
    <w:rsid w:val="008C3471"/>
    <w:rsid w:val="008D0546"/>
    <w:rsid w:val="008D2D04"/>
    <w:rsid w:val="008E0E73"/>
    <w:rsid w:val="008E516C"/>
    <w:rsid w:val="008E6716"/>
    <w:rsid w:val="008F2D40"/>
    <w:rsid w:val="008F58F5"/>
    <w:rsid w:val="008F6665"/>
    <w:rsid w:val="0090027A"/>
    <w:rsid w:val="00902792"/>
    <w:rsid w:val="0090346A"/>
    <w:rsid w:val="0091101E"/>
    <w:rsid w:val="0091183B"/>
    <w:rsid w:val="00912C13"/>
    <w:rsid w:val="00912CDF"/>
    <w:rsid w:val="00920B55"/>
    <w:rsid w:val="009242C8"/>
    <w:rsid w:val="00924322"/>
    <w:rsid w:val="0092463F"/>
    <w:rsid w:val="00934B77"/>
    <w:rsid w:val="00936E6B"/>
    <w:rsid w:val="00936FAB"/>
    <w:rsid w:val="00942B00"/>
    <w:rsid w:val="009457DA"/>
    <w:rsid w:val="00954A97"/>
    <w:rsid w:val="0096537B"/>
    <w:rsid w:val="00965E09"/>
    <w:rsid w:val="00966882"/>
    <w:rsid w:val="00970FD8"/>
    <w:rsid w:val="009716B5"/>
    <w:rsid w:val="00975770"/>
    <w:rsid w:val="00981023"/>
    <w:rsid w:val="00986A17"/>
    <w:rsid w:val="009872FA"/>
    <w:rsid w:val="0099282B"/>
    <w:rsid w:val="0099565E"/>
    <w:rsid w:val="00996273"/>
    <w:rsid w:val="009A39FF"/>
    <w:rsid w:val="009A40FC"/>
    <w:rsid w:val="009B251F"/>
    <w:rsid w:val="009B56E0"/>
    <w:rsid w:val="009B7433"/>
    <w:rsid w:val="009B7F1E"/>
    <w:rsid w:val="009C7CE4"/>
    <w:rsid w:val="009D03C7"/>
    <w:rsid w:val="009D0D7C"/>
    <w:rsid w:val="009D2CD3"/>
    <w:rsid w:val="009D654D"/>
    <w:rsid w:val="009D798F"/>
    <w:rsid w:val="009E460F"/>
    <w:rsid w:val="009E4EC7"/>
    <w:rsid w:val="009F0721"/>
    <w:rsid w:val="009F3415"/>
    <w:rsid w:val="009F532F"/>
    <w:rsid w:val="009F580F"/>
    <w:rsid w:val="009F6922"/>
    <w:rsid w:val="00A01E9E"/>
    <w:rsid w:val="00A04555"/>
    <w:rsid w:val="00A05521"/>
    <w:rsid w:val="00A05D3E"/>
    <w:rsid w:val="00A05D7E"/>
    <w:rsid w:val="00A06E44"/>
    <w:rsid w:val="00A140FD"/>
    <w:rsid w:val="00A15B5B"/>
    <w:rsid w:val="00A204FF"/>
    <w:rsid w:val="00A2155D"/>
    <w:rsid w:val="00A2258A"/>
    <w:rsid w:val="00A22E2F"/>
    <w:rsid w:val="00A24AE6"/>
    <w:rsid w:val="00A2656D"/>
    <w:rsid w:val="00A31446"/>
    <w:rsid w:val="00A31716"/>
    <w:rsid w:val="00A40697"/>
    <w:rsid w:val="00A44B64"/>
    <w:rsid w:val="00A468BB"/>
    <w:rsid w:val="00A46DBD"/>
    <w:rsid w:val="00A477BF"/>
    <w:rsid w:val="00A524DA"/>
    <w:rsid w:val="00A52D72"/>
    <w:rsid w:val="00A538B9"/>
    <w:rsid w:val="00A549CC"/>
    <w:rsid w:val="00A54E79"/>
    <w:rsid w:val="00A55CA2"/>
    <w:rsid w:val="00A561E1"/>
    <w:rsid w:val="00A568AE"/>
    <w:rsid w:val="00A573F3"/>
    <w:rsid w:val="00A64DCC"/>
    <w:rsid w:val="00A66DD9"/>
    <w:rsid w:val="00A6728E"/>
    <w:rsid w:val="00A70237"/>
    <w:rsid w:val="00A7493F"/>
    <w:rsid w:val="00A82B6B"/>
    <w:rsid w:val="00A84BDD"/>
    <w:rsid w:val="00A90E28"/>
    <w:rsid w:val="00A917F8"/>
    <w:rsid w:val="00A919A7"/>
    <w:rsid w:val="00A9541C"/>
    <w:rsid w:val="00A9623C"/>
    <w:rsid w:val="00AA2F2D"/>
    <w:rsid w:val="00AA66AE"/>
    <w:rsid w:val="00AB1B7B"/>
    <w:rsid w:val="00AB1B99"/>
    <w:rsid w:val="00AB23FB"/>
    <w:rsid w:val="00AB31A7"/>
    <w:rsid w:val="00AB4B5F"/>
    <w:rsid w:val="00AB4FD3"/>
    <w:rsid w:val="00AC1379"/>
    <w:rsid w:val="00AC614F"/>
    <w:rsid w:val="00AC6615"/>
    <w:rsid w:val="00AD1A80"/>
    <w:rsid w:val="00AD5EA4"/>
    <w:rsid w:val="00AD788F"/>
    <w:rsid w:val="00AE0E8E"/>
    <w:rsid w:val="00AE4A0E"/>
    <w:rsid w:val="00AF1E79"/>
    <w:rsid w:val="00AF3F44"/>
    <w:rsid w:val="00AF55AC"/>
    <w:rsid w:val="00B00218"/>
    <w:rsid w:val="00B019A2"/>
    <w:rsid w:val="00B03E63"/>
    <w:rsid w:val="00B055E2"/>
    <w:rsid w:val="00B10973"/>
    <w:rsid w:val="00B10D97"/>
    <w:rsid w:val="00B130BF"/>
    <w:rsid w:val="00B13C20"/>
    <w:rsid w:val="00B15E37"/>
    <w:rsid w:val="00B16B18"/>
    <w:rsid w:val="00B20453"/>
    <w:rsid w:val="00B210FD"/>
    <w:rsid w:val="00B22508"/>
    <w:rsid w:val="00B33D8B"/>
    <w:rsid w:val="00B40F15"/>
    <w:rsid w:val="00B43C9C"/>
    <w:rsid w:val="00B51618"/>
    <w:rsid w:val="00B51E58"/>
    <w:rsid w:val="00B53ED1"/>
    <w:rsid w:val="00B554DD"/>
    <w:rsid w:val="00B618E0"/>
    <w:rsid w:val="00B630B1"/>
    <w:rsid w:val="00B65D21"/>
    <w:rsid w:val="00B6709E"/>
    <w:rsid w:val="00B70816"/>
    <w:rsid w:val="00B70BD0"/>
    <w:rsid w:val="00B762FB"/>
    <w:rsid w:val="00B80A2A"/>
    <w:rsid w:val="00B93DB8"/>
    <w:rsid w:val="00B96F75"/>
    <w:rsid w:val="00B976EE"/>
    <w:rsid w:val="00BA6713"/>
    <w:rsid w:val="00BA7CE2"/>
    <w:rsid w:val="00BC2B7E"/>
    <w:rsid w:val="00BC578F"/>
    <w:rsid w:val="00BC5B7A"/>
    <w:rsid w:val="00BC7E3E"/>
    <w:rsid w:val="00BD0614"/>
    <w:rsid w:val="00BD081C"/>
    <w:rsid w:val="00BD3D72"/>
    <w:rsid w:val="00BE258C"/>
    <w:rsid w:val="00BE4755"/>
    <w:rsid w:val="00BE63C5"/>
    <w:rsid w:val="00BE78A7"/>
    <w:rsid w:val="00BF738D"/>
    <w:rsid w:val="00C01D72"/>
    <w:rsid w:val="00C04F9C"/>
    <w:rsid w:val="00C054CE"/>
    <w:rsid w:val="00C06387"/>
    <w:rsid w:val="00C10477"/>
    <w:rsid w:val="00C10BF2"/>
    <w:rsid w:val="00C14390"/>
    <w:rsid w:val="00C14812"/>
    <w:rsid w:val="00C15BEE"/>
    <w:rsid w:val="00C2108D"/>
    <w:rsid w:val="00C23C68"/>
    <w:rsid w:val="00C2678A"/>
    <w:rsid w:val="00C26A3E"/>
    <w:rsid w:val="00C4187A"/>
    <w:rsid w:val="00C4231D"/>
    <w:rsid w:val="00C464A1"/>
    <w:rsid w:val="00C513A2"/>
    <w:rsid w:val="00C52FA6"/>
    <w:rsid w:val="00C53BBD"/>
    <w:rsid w:val="00C5575D"/>
    <w:rsid w:val="00C57E22"/>
    <w:rsid w:val="00C62F79"/>
    <w:rsid w:val="00C643D5"/>
    <w:rsid w:val="00C663FF"/>
    <w:rsid w:val="00C67204"/>
    <w:rsid w:val="00C753CC"/>
    <w:rsid w:val="00C802CD"/>
    <w:rsid w:val="00C82085"/>
    <w:rsid w:val="00C85550"/>
    <w:rsid w:val="00C90694"/>
    <w:rsid w:val="00C92FDC"/>
    <w:rsid w:val="00C9456D"/>
    <w:rsid w:val="00C94DF3"/>
    <w:rsid w:val="00C95580"/>
    <w:rsid w:val="00C958EF"/>
    <w:rsid w:val="00C96EF7"/>
    <w:rsid w:val="00C977D8"/>
    <w:rsid w:val="00CA3A14"/>
    <w:rsid w:val="00CA52B6"/>
    <w:rsid w:val="00CB474A"/>
    <w:rsid w:val="00CB54C3"/>
    <w:rsid w:val="00CB57E3"/>
    <w:rsid w:val="00CB6E28"/>
    <w:rsid w:val="00CB7A3C"/>
    <w:rsid w:val="00CC117F"/>
    <w:rsid w:val="00CC3A96"/>
    <w:rsid w:val="00CE35D7"/>
    <w:rsid w:val="00CE47CE"/>
    <w:rsid w:val="00CF1C29"/>
    <w:rsid w:val="00D03496"/>
    <w:rsid w:val="00D04127"/>
    <w:rsid w:val="00D06787"/>
    <w:rsid w:val="00D1261F"/>
    <w:rsid w:val="00D12B5F"/>
    <w:rsid w:val="00D13426"/>
    <w:rsid w:val="00D17F35"/>
    <w:rsid w:val="00D20F5E"/>
    <w:rsid w:val="00D228C4"/>
    <w:rsid w:val="00D25A63"/>
    <w:rsid w:val="00D27CFD"/>
    <w:rsid w:val="00D31C5A"/>
    <w:rsid w:val="00D32B02"/>
    <w:rsid w:val="00D360E5"/>
    <w:rsid w:val="00D371A0"/>
    <w:rsid w:val="00D42D1A"/>
    <w:rsid w:val="00D44086"/>
    <w:rsid w:val="00D449DF"/>
    <w:rsid w:val="00D50C77"/>
    <w:rsid w:val="00D53417"/>
    <w:rsid w:val="00D55008"/>
    <w:rsid w:val="00D61191"/>
    <w:rsid w:val="00D615BE"/>
    <w:rsid w:val="00D637FF"/>
    <w:rsid w:val="00D63F23"/>
    <w:rsid w:val="00D661CA"/>
    <w:rsid w:val="00D70A94"/>
    <w:rsid w:val="00D72BDE"/>
    <w:rsid w:val="00D801B0"/>
    <w:rsid w:val="00D8059E"/>
    <w:rsid w:val="00D83CBD"/>
    <w:rsid w:val="00D90C35"/>
    <w:rsid w:val="00D9296D"/>
    <w:rsid w:val="00D92DB8"/>
    <w:rsid w:val="00D9402E"/>
    <w:rsid w:val="00D95149"/>
    <w:rsid w:val="00D9703C"/>
    <w:rsid w:val="00DB0BF5"/>
    <w:rsid w:val="00DB61E9"/>
    <w:rsid w:val="00DC6FD8"/>
    <w:rsid w:val="00DC7943"/>
    <w:rsid w:val="00DD2C46"/>
    <w:rsid w:val="00DD65E7"/>
    <w:rsid w:val="00DD7935"/>
    <w:rsid w:val="00DE3C13"/>
    <w:rsid w:val="00DE6099"/>
    <w:rsid w:val="00DF2C01"/>
    <w:rsid w:val="00DF342B"/>
    <w:rsid w:val="00DF5A75"/>
    <w:rsid w:val="00E03988"/>
    <w:rsid w:val="00E07A6B"/>
    <w:rsid w:val="00E10EE9"/>
    <w:rsid w:val="00E16B29"/>
    <w:rsid w:val="00E213EC"/>
    <w:rsid w:val="00E2628B"/>
    <w:rsid w:val="00E268AE"/>
    <w:rsid w:val="00E26DE2"/>
    <w:rsid w:val="00E31DDF"/>
    <w:rsid w:val="00E327D7"/>
    <w:rsid w:val="00E33E42"/>
    <w:rsid w:val="00E41515"/>
    <w:rsid w:val="00E45F97"/>
    <w:rsid w:val="00E4773F"/>
    <w:rsid w:val="00E6178C"/>
    <w:rsid w:val="00E707BA"/>
    <w:rsid w:val="00E71958"/>
    <w:rsid w:val="00E724DE"/>
    <w:rsid w:val="00E72967"/>
    <w:rsid w:val="00E73766"/>
    <w:rsid w:val="00E802AC"/>
    <w:rsid w:val="00E81D0F"/>
    <w:rsid w:val="00E844EF"/>
    <w:rsid w:val="00E8489F"/>
    <w:rsid w:val="00E86634"/>
    <w:rsid w:val="00E90D9C"/>
    <w:rsid w:val="00E90E88"/>
    <w:rsid w:val="00E91D37"/>
    <w:rsid w:val="00E92447"/>
    <w:rsid w:val="00E929EA"/>
    <w:rsid w:val="00E92E76"/>
    <w:rsid w:val="00E94A58"/>
    <w:rsid w:val="00EA09E8"/>
    <w:rsid w:val="00EA50CB"/>
    <w:rsid w:val="00EB2BAE"/>
    <w:rsid w:val="00EB489B"/>
    <w:rsid w:val="00EB4C98"/>
    <w:rsid w:val="00EB552D"/>
    <w:rsid w:val="00EB6006"/>
    <w:rsid w:val="00EB675E"/>
    <w:rsid w:val="00EC2F2B"/>
    <w:rsid w:val="00EC504C"/>
    <w:rsid w:val="00ED0E26"/>
    <w:rsid w:val="00ED33AA"/>
    <w:rsid w:val="00ED5164"/>
    <w:rsid w:val="00ED5FC4"/>
    <w:rsid w:val="00EE04B6"/>
    <w:rsid w:val="00EE431C"/>
    <w:rsid w:val="00EE4935"/>
    <w:rsid w:val="00EE4A55"/>
    <w:rsid w:val="00EE5E85"/>
    <w:rsid w:val="00EF11C3"/>
    <w:rsid w:val="00EF3290"/>
    <w:rsid w:val="00EF393B"/>
    <w:rsid w:val="00EF3D92"/>
    <w:rsid w:val="00F005EF"/>
    <w:rsid w:val="00F00640"/>
    <w:rsid w:val="00F00916"/>
    <w:rsid w:val="00F039E4"/>
    <w:rsid w:val="00F1018E"/>
    <w:rsid w:val="00F11974"/>
    <w:rsid w:val="00F12746"/>
    <w:rsid w:val="00F142DE"/>
    <w:rsid w:val="00F163DB"/>
    <w:rsid w:val="00F21298"/>
    <w:rsid w:val="00F21A82"/>
    <w:rsid w:val="00F24CD9"/>
    <w:rsid w:val="00F25DE2"/>
    <w:rsid w:val="00F27145"/>
    <w:rsid w:val="00F34F74"/>
    <w:rsid w:val="00F36527"/>
    <w:rsid w:val="00F36698"/>
    <w:rsid w:val="00F366F5"/>
    <w:rsid w:val="00F44A0E"/>
    <w:rsid w:val="00F4652C"/>
    <w:rsid w:val="00F50C1A"/>
    <w:rsid w:val="00F53006"/>
    <w:rsid w:val="00F572B8"/>
    <w:rsid w:val="00F626BB"/>
    <w:rsid w:val="00F63298"/>
    <w:rsid w:val="00F654C1"/>
    <w:rsid w:val="00F659FA"/>
    <w:rsid w:val="00F6686B"/>
    <w:rsid w:val="00F66C59"/>
    <w:rsid w:val="00F704F5"/>
    <w:rsid w:val="00F708A8"/>
    <w:rsid w:val="00F70D0A"/>
    <w:rsid w:val="00F71E1A"/>
    <w:rsid w:val="00F71F40"/>
    <w:rsid w:val="00F76A06"/>
    <w:rsid w:val="00F80A3C"/>
    <w:rsid w:val="00F81C68"/>
    <w:rsid w:val="00F86552"/>
    <w:rsid w:val="00F8717C"/>
    <w:rsid w:val="00F91643"/>
    <w:rsid w:val="00F95DD8"/>
    <w:rsid w:val="00FA0B02"/>
    <w:rsid w:val="00FA50D0"/>
    <w:rsid w:val="00FB1CB9"/>
    <w:rsid w:val="00FB34FE"/>
    <w:rsid w:val="00FB4DF7"/>
    <w:rsid w:val="00FC3C70"/>
    <w:rsid w:val="00FC3D5F"/>
    <w:rsid w:val="00FC55CB"/>
    <w:rsid w:val="00FC6C1C"/>
    <w:rsid w:val="00FD46F1"/>
    <w:rsid w:val="00FD700F"/>
    <w:rsid w:val="00FE3492"/>
    <w:rsid w:val="00FE40AE"/>
    <w:rsid w:val="00FE7936"/>
    <w:rsid w:val="00FF33E6"/>
    <w:rsid w:val="00FF3C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4F9D4"/>
  <w15:docId w15:val="{ABBA6578-E71E-4760-8C36-E82E0EB5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069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2">
    <w:name w:val="Standard2"/>
    <w:rsid w:val="00A40697"/>
    <w:pPr>
      <w:pBdr>
        <w:top w:val="nil"/>
        <w:left w:val="nil"/>
        <w:bottom w:val="nil"/>
        <w:right w:val="nil"/>
        <w:between w:val="nil"/>
        <w:bar w:val="nil"/>
      </w:pBdr>
      <w:spacing w:after="0" w:line="360" w:lineRule="auto"/>
    </w:pPr>
    <w:rPr>
      <w:rFonts w:ascii="Arial Unicode MS" w:eastAsia="Arial Unicode MS" w:hAnsi="Times New Roman" w:cs="Arial Unicode MS"/>
      <w:color w:val="000000"/>
      <w:sz w:val="24"/>
      <w:szCs w:val="24"/>
      <w:u w:color="000000"/>
      <w:bdr w:val="nil"/>
      <w:lang w:val="en-US" w:eastAsia="de-DE"/>
    </w:rPr>
  </w:style>
  <w:style w:type="paragraph" w:styleId="Kopfzeile">
    <w:name w:val="header"/>
    <w:basedOn w:val="Standard"/>
    <w:link w:val="KopfzeileZchn"/>
    <w:uiPriority w:val="99"/>
    <w:unhideWhenUsed/>
    <w:rsid w:val="00A40697"/>
    <w:pPr>
      <w:tabs>
        <w:tab w:val="center" w:pos="4536"/>
        <w:tab w:val="right" w:pos="9072"/>
      </w:tabs>
    </w:pPr>
  </w:style>
  <w:style w:type="character" w:customStyle="1" w:styleId="KopfzeileZchn">
    <w:name w:val="Kopfzeile Zchn"/>
    <w:basedOn w:val="Absatz-Standardschriftart"/>
    <w:link w:val="Kopfzeile"/>
    <w:uiPriority w:val="99"/>
    <w:rsid w:val="00A40697"/>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40697"/>
    <w:rPr>
      <w:color w:val="0000FF" w:themeColor="hyperlink"/>
      <w:u w:val="single"/>
    </w:rPr>
  </w:style>
  <w:style w:type="paragraph" w:styleId="Sprechblasentext">
    <w:name w:val="Balloon Text"/>
    <w:basedOn w:val="Standard"/>
    <w:link w:val="SprechblasentextZchn"/>
    <w:uiPriority w:val="99"/>
    <w:semiHidden/>
    <w:unhideWhenUsed/>
    <w:rsid w:val="00A406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697"/>
    <w:rPr>
      <w:rFonts w:ascii="Tahoma" w:eastAsia="Times New Roman" w:hAnsi="Tahoma" w:cs="Tahoma"/>
      <w:sz w:val="16"/>
      <w:szCs w:val="16"/>
      <w:lang w:eastAsia="de-DE"/>
    </w:rPr>
  </w:style>
  <w:style w:type="paragraph" w:styleId="Fuzeile">
    <w:name w:val="footer"/>
    <w:basedOn w:val="Standard"/>
    <w:link w:val="FuzeileZchn"/>
    <w:uiPriority w:val="99"/>
    <w:unhideWhenUsed/>
    <w:rsid w:val="00A40697"/>
    <w:pPr>
      <w:tabs>
        <w:tab w:val="center" w:pos="4536"/>
        <w:tab w:val="right" w:pos="9072"/>
      </w:tabs>
    </w:pPr>
  </w:style>
  <w:style w:type="character" w:customStyle="1" w:styleId="FuzeileZchn">
    <w:name w:val="Fußzeile Zchn"/>
    <w:basedOn w:val="Absatz-Standardschriftart"/>
    <w:link w:val="Fuzeile"/>
    <w:uiPriority w:val="99"/>
    <w:rsid w:val="00A40697"/>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01D72"/>
    <w:pPr>
      <w:ind w:left="720"/>
      <w:contextualSpacing/>
    </w:pPr>
  </w:style>
  <w:style w:type="character" w:styleId="Kommentarzeichen">
    <w:name w:val="annotation reference"/>
    <w:basedOn w:val="Absatz-Standardschriftart"/>
    <w:uiPriority w:val="99"/>
    <w:semiHidden/>
    <w:unhideWhenUsed/>
    <w:rsid w:val="00E268AE"/>
    <w:rPr>
      <w:sz w:val="16"/>
      <w:szCs w:val="16"/>
    </w:rPr>
  </w:style>
  <w:style w:type="paragraph" w:styleId="Kommentartext">
    <w:name w:val="annotation text"/>
    <w:basedOn w:val="Standard"/>
    <w:link w:val="KommentartextZchn"/>
    <w:uiPriority w:val="99"/>
    <w:semiHidden/>
    <w:unhideWhenUsed/>
    <w:rsid w:val="00E268AE"/>
    <w:rPr>
      <w:sz w:val="20"/>
      <w:szCs w:val="20"/>
    </w:rPr>
  </w:style>
  <w:style w:type="character" w:customStyle="1" w:styleId="KommentartextZchn">
    <w:name w:val="Kommentartext Zchn"/>
    <w:basedOn w:val="Absatz-Standardschriftart"/>
    <w:link w:val="Kommentartext"/>
    <w:uiPriority w:val="99"/>
    <w:semiHidden/>
    <w:rsid w:val="00E268A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268AE"/>
    <w:rPr>
      <w:b/>
      <w:bCs/>
    </w:rPr>
  </w:style>
  <w:style w:type="character" w:customStyle="1" w:styleId="KommentarthemaZchn">
    <w:name w:val="Kommentarthema Zchn"/>
    <w:basedOn w:val="KommentartextZchn"/>
    <w:link w:val="Kommentarthema"/>
    <w:uiPriority w:val="99"/>
    <w:semiHidden/>
    <w:rsid w:val="00E268AE"/>
    <w:rPr>
      <w:rFonts w:ascii="Times New Roman" w:eastAsia="Times New Roman" w:hAnsi="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97577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2645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5186">
      <w:bodyDiv w:val="1"/>
      <w:marLeft w:val="0"/>
      <w:marRight w:val="0"/>
      <w:marTop w:val="0"/>
      <w:marBottom w:val="0"/>
      <w:divBdr>
        <w:top w:val="none" w:sz="0" w:space="0" w:color="auto"/>
        <w:left w:val="none" w:sz="0" w:space="0" w:color="auto"/>
        <w:bottom w:val="none" w:sz="0" w:space="0" w:color="auto"/>
        <w:right w:val="none" w:sz="0" w:space="0" w:color="auto"/>
      </w:divBdr>
    </w:div>
    <w:div w:id="15491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mes-holida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holiday.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B4D6A-1B16-4510-BD45-87118BAEE053}">
  <ds:schemaRefs>
    <ds:schemaRef ds:uri="http://schemas.openxmlformats.org/officeDocument/2006/bibliography"/>
  </ds:schemaRefs>
</ds:datastoreItem>
</file>

<file path=customXml/itemProps2.xml><?xml version="1.0" encoding="utf-8"?>
<ds:datastoreItem xmlns:ds="http://schemas.openxmlformats.org/officeDocument/2006/customXml" ds:itemID="{030D1846-DEA6-4C3D-BAF7-39A797454DE3}">
  <ds:schemaRefs>
    <ds:schemaRef ds:uri="http://schemas.openxmlformats.org/officeDocument/2006/bibliography"/>
  </ds:schemaRefs>
</ds:datastoreItem>
</file>

<file path=customXml/itemProps3.xml><?xml version="1.0" encoding="utf-8"?>
<ds:datastoreItem xmlns:ds="http://schemas.openxmlformats.org/officeDocument/2006/customXml" ds:itemID="{EA480598-1458-214F-B9B8-F081D20C586C}">
  <ds:schemaRefs>
    <ds:schemaRef ds:uri="http://schemas.openxmlformats.org/officeDocument/2006/bibliography"/>
  </ds:schemaRefs>
</ds:datastoreItem>
</file>

<file path=customXml/itemProps4.xml><?xml version="1.0" encoding="utf-8"?>
<ds:datastoreItem xmlns:ds="http://schemas.openxmlformats.org/officeDocument/2006/customXml" ds:itemID="{277B818F-4551-42DD-BEF9-1398B002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Delta Agrar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Walker</dc:creator>
  <cp:lastModifiedBy>Ulrike Eschenbecher</cp:lastModifiedBy>
  <cp:revision>2</cp:revision>
  <cp:lastPrinted>2018-05-25T13:17:00Z</cp:lastPrinted>
  <dcterms:created xsi:type="dcterms:W3CDTF">2018-10-02T07:28:00Z</dcterms:created>
  <dcterms:modified xsi:type="dcterms:W3CDTF">2018-10-02T07:28:00Z</dcterms:modified>
</cp:coreProperties>
</file>